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b/>
          <w:sz w:val="32"/>
          <w:szCs w:val="32"/>
        </w:rPr>
      </w:pPr>
    </w:p>
    <w:p>
      <w:pPr>
        <w:jc w:val="center"/>
        <w:rPr>
          <w:rFonts w:ascii="宋体"/>
          <w:b/>
          <w:sz w:val="32"/>
          <w:szCs w:val="32"/>
        </w:rPr>
      </w:pPr>
    </w:p>
    <w:p>
      <w:pPr>
        <w:rPr>
          <w:rFonts w:hint="eastAsia" w:ascii="宋体"/>
          <w:b/>
          <w:sz w:val="32"/>
          <w:szCs w:val="32"/>
        </w:rPr>
      </w:pPr>
    </w:p>
    <w:p>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山西省地方标准</w:t>
      </w:r>
    </w:p>
    <w:p>
      <w:pPr>
        <w:spacing w:line="360" w:lineRule="auto"/>
        <w:jc w:val="center"/>
        <w:rPr>
          <w:rFonts w:ascii="黑体" w:eastAsia="黑体" w:hAnsiTheme="minorHAnsi" w:cstheme="minorBidi"/>
          <w:b/>
          <w:kern w:val="22"/>
          <w:sz w:val="44"/>
          <w:szCs w:val="44"/>
        </w:rPr>
      </w:pPr>
    </w:p>
    <w:p>
      <w:pPr>
        <w:spacing w:line="48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《设施蔬菜固碳生产技术规程</w:t>
      </w:r>
      <w:r>
        <w:rPr>
          <w:rFonts w:ascii="黑体" w:eastAsia="黑体" w:hAnsiTheme="minorHAnsi" w:cstheme="minorBidi"/>
          <w:b/>
          <w:kern w:val="22"/>
          <w:sz w:val="44"/>
          <w:szCs w:val="44"/>
        </w:rPr>
        <w:t xml:space="preserve">  </w:t>
      </w:r>
      <w:r>
        <w:rPr>
          <w:rFonts w:hint="eastAsia" w:ascii="黑体" w:eastAsia="黑体" w:hAnsiTheme="minorHAnsi" w:cstheme="minorBidi"/>
          <w:b/>
          <w:kern w:val="22"/>
          <w:sz w:val="44"/>
          <w:szCs w:val="44"/>
          <w:lang w:val="en-US" w:eastAsia="zh-CN"/>
        </w:rPr>
        <w:t>塑料大棚番茄</w:t>
      </w:r>
      <w:r>
        <w:rPr>
          <w:rFonts w:hint="eastAsia" w:ascii="黑体" w:eastAsia="黑体" w:hAnsiTheme="minorHAnsi" w:cstheme="minorBidi"/>
          <w:b/>
          <w:kern w:val="22"/>
          <w:sz w:val="44"/>
          <w:szCs w:val="44"/>
        </w:rPr>
        <w:t>》</w:t>
      </w:r>
    </w:p>
    <w:p>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编制说明</w:t>
      </w:r>
    </w:p>
    <w:p>
      <w:pPr>
        <w:ind w:firstLine="643" w:firstLineChars="200"/>
        <w:rPr>
          <w:rFonts w:ascii="仿宋" w:hAnsi="仿宋" w:eastAsia="仿宋"/>
          <w:b/>
          <w:sz w:val="32"/>
          <w:szCs w:val="32"/>
        </w:rPr>
      </w:pPr>
    </w:p>
    <w:p>
      <w:pPr>
        <w:ind w:firstLine="643" w:firstLineChars="200"/>
        <w:rPr>
          <w:rFonts w:ascii="仿宋" w:hAnsi="仿宋" w:eastAsia="仿宋"/>
          <w:b/>
          <w:sz w:val="32"/>
          <w:szCs w:val="32"/>
        </w:rPr>
      </w:pPr>
    </w:p>
    <w:p>
      <w:pPr>
        <w:ind w:firstLine="643" w:firstLineChars="200"/>
        <w:rPr>
          <w:rFonts w:ascii="仿宋" w:hAnsi="仿宋" w:eastAsia="仿宋"/>
          <w:b/>
          <w:sz w:val="32"/>
          <w:szCs w:val="32"/>
        </w:rPr>
      </w:pPr>
    </w:p>
    <w:p>
      <w:pPr>
        <w:ind w:firstLine="643" w:firstLineChars="200"/>
        <w:rPr>
          <w:rFonts w:ascii="仿宋" w:hAnsi="仿宋" w:eastAsia="仿宋"/>
          <w:b/>
          <w:sz w:val="32"/>
          <w:szCs w:val="32"/>
        </w:rPr>
      </w:pPr>
    </w:p>
    <w:p>
      <w:pPr>
        <w:ind w:firstLine="643" w:firstLineChars="200"/>
        <w:rPr>
          <w:rFonts w:ascii="仿宋" w:hAnsi="仿宋" w:eastAsia="仿宋"/>
          <w:b/>
          <w:sz w:val="32"/>
          <w:szCs w:val="32"/>
        </w:rPr>
      </w:pPr>
    </w:p>
    <w:p>
      <w:pPr>
        <w:ind w:firstLine="643" w:firstLineChars="200"/>
        <w:rPr>
          <w:rFonts w:ascii="仿宋" w:hAnsi="仿宋" w:eastAsia="仿宋"/>
          <w:b/>
          <w:sz w:val="32"/>
          <w:szCs w:val="32"/>
        </w:rPr>
      </w:pPr>
    </w:p>
    <w:p>
      <w:pPr>
        <w:ind w:firstLine="643" w:firstLineChars="200"/>
        <w:jc w:val="center"/>
        <w:rPr>
          <w:rFonts w:ascii="仿宋" w:hAnsi="仿宋" w:eastAsia="仿宋"/>
          <w:b/>
          <w:sz w:val="32"/>
          <w:szCs w:val="32"/>
        </w:rPr>
      </w:pPr>
    </w:p>
    <w:p>
      <w:pPr>
        <w:ind w:firstLine="643" w:firstLineChars="200"/>
        <w:jc w:val="center"/>
        <w:rPr>
          <w:rFonts w:ascii="宋体"/>
          <w:b/>
          <w:sz w:val="32"/>
          <w:szCs w:val="32"/>
        </w:rPr>
      </w:pPr>
    </w:p>
    <w:p>
      <w:pPr>
        <w:ind w:firstLine="643" w:firstLineChars="200"/>
        <w:jc w:val="center"/>
        <w:rPr>
          <w:rFonts w:ascii="宋体"/>
          <w:b/>
          <w:sz w:val="32"/>
          <w:szCs w:val="32"/>
        </w:rPr>
      </w:pPr>
    </w:p>
    <w:p>
      <w:pPr>
        <w:ind w:firstLine="643" w:firstLineChars="200"/>
        <w:jc w:val="center"/>
        <w:rPr>
          <w:rFonts w:ascii="宋体"/>
          <w:b/>
          <w:sz w:val="32"/>
          <w:szCs w:val="32"/>
        </w:rPr>
      </w:pPr>
    </w:p>
    <w:p>
      <w:pPr>
        <w:spacing w:line="360" w:lineRule="auto"/>
        <w:jc w:val="center"/>
        <w:rPr>
          <w:rFonts w:hint="default" w:ascii="宋体" w:hAnsi="宋体" w:eastAsia="宋体"/>
          <w:b/>
          <w:kern w:val="22"/>
          <w:sz w:val="10"/>
          <w:szCs w:val="10"/>
          <w:lang w:val="en-US" w:eastAsia="zh-CN"/>
        </w:rPr>
      </w:pPr>
      <w:r>
        <w:rPr>
          <w:rFonts w:hint="eastAsia" w:ascii="宋体" w:hAnsi="宋体"/>
          <w:b/>
          <w:kern w:val="22"/>
          <w:sz w:val="32"/>
          <w:szCs w:val="32"/>
        </w:rPr>
        <w:t>编制单位：</w:t>
      </w:r>
      <w:r>
        <w:rPr>
          <w:rFonts w:hint="eastAsia" w:ascii="宋体" w:hAnsi="宋体"/>
          <w:b/>
          <w:kern w:val="22"/>
          <w:sz w:val="32"/>
          <w:szCs w:val="32"/>
          <w:lang w:val="en-US" w:eastAsia="zh-CN"/>
        </w:rPr>
        <w:t>山西农业大学</w:t>
      </w:r>
    </w:p>
    <w:p>
      <w:pPr>
        <w:jc w:val="center"/>
        <w:rPr>
          <w:rFonts w:ascii="宋体" w:hAnsi="宋体"/>
          <w:b/>
          <w:sz w:val="32"/>
          <w:szCs w:val="32"/>
        </w:rPr>
      </w:pPr>
      <w:r>
        <w:rPr>
          <w:rFonts w:hint="eastAsia" w:ascii="宋体" w:hAnsi="宋体"/>
          <w:b/>
          <w:sz w:val="32"/>
          <w:szCs w:val="32"/>
        </w:rPr>
        <w:t xml:space="preserve"> 二〇</w:t>
      </w:r>
      <w:r>
        <w:rPr>
          <w:rFonts w:hint="eastAsia" w:ascii="宋体" w:hAnsi="宋体"/>
          <w:b/>
          <w:sz w:val="32"/>
          <w:szCs w:val="32"/>
          <w:lang w:eastAsia="zh-CN"/>
        </w:rPr>
        <w:t>二四</w:t>
      </w:r>
      <w:r>
        <w:rPr>
          <w:rFonts w:hint="eastAsia" w:ascii="宋体" w:hAnsi="宋体"/>
          <w:b/>
          <w:sz w:val="32"/>
          <w:szCs w:val="32"/>
        </w:rPr>
        <w:t>年</w:t>
      </w:r>
      <w:r>
        <w:rPr>
          <w:rFonts w:hint="eastAsia" w:ascii="宋体" w:hAnsi="宋体"/>
          <w:b/>
          <w:sz w:val="32"/>
          <w:szCs w:val="32"/>
          <w:lang w:eastAsia="zh-CN"/>
        </w:rPr>
        <w:t>五</w:t>
      </w:r>
      <w:r>
        <w:rPr>
          <w:rFonts w:hint="eastAsia" w:ascii="宋体" w:hAnsi="宋体"/>
          <w:b/>
          <w:sz w:val="32"/>
          <w:szCs w:val="32"/>
        </w:rPr>
        <w:t>月</w:t>
      </w:r>
    </w:p>
    <w:p>
      <w:pPr>
        <w:jc w:val="center"/>
        <w:rPr>
          <w:rFonts w:ascii="宋体" w:hAnsi="宋体"/>
          <w:b/>
          <w:sz w:val="32"/>
          <w:szCs w:val="32"/>
        </w:rPr>
      </w:pPr>
    </w:p>
    <w:p>
      <w:pPr>
        <w:jc w:val="center"/>
        <w:rPr>
          <w:rFonts w:ascii="宋体" w:hAnsi="宋体"/>
          <w:b/>
          <w:sz w:val="32"/>
          <w:szCs w:val="32"/>
        </w:rPr>
      </w:pPr>
    </w:p>
    <w:p>
      <w:pPr>
        <w:jc w:val="center"/>
        <w:rPr>
          <w:rFonts w:ascii="宋体" w:hAnsi="宋体"/>
          <w:b/>
          <w:sz w:val="32"/>
          <w:szCs w:val="32"/>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ascii="宋体"/>
          <w:b/>
          <w:sz w:val="30"/>
          <w:szCs w:val="30"/>
        </w:rPr>
      </w:pPr>
      <w:r>
        <w:rPr>
          <w:rFonts w:hint="eastAsia" w:ascii="宋体" w:hAnsi="宋体"/>
          <w:b/>
          <w:sz w:val="30"/>
          <w:szCs w:val="30"/>
        </w:rPr>
        <w:t>山西省地方标准</w:t>
      </w:r>
    </w:p>
    <w:p>
      <w:pPr>
        <w:spacing w:line="520" w:lineRule="exact"/>
        <w:jc w:val="center"/>
        <w:rPr>
          <w:rFonts w:ascii="宋体"/>
          <w:b/>
          <w:sz w:val="30"/>
          <w:szCs w:val="30"/>
        </w:rPr>
      </w:pPr>
      <w:r>
        <w:rPr>
          <w:rFonts w:hint="eastAsia" w:ascii="宋体" w:hAnsi="宋体"/>
          <w:b/>
          <w:sz w:val="30"/>
          <w:szCs w:val="30"/>
        </w:rPr>
        <w:t>《设施蔬菜固碳生产技术规程</w:t>
      </w:r>
      <w:r>
        <w:rPr>
          <w:rFonts w:ascii="宋体" w:hAnsi="宋体"/>
          <w:b/>
          <w:sz w:val="30"/>
          <w:szCs w:val="30"/>
        </w:rPr>
        <w:t xml:space="preserve">  </w:t>
      </w:r>
      <w:r>
        <w:rPr>
          <w:rFonts w:hint="eastAsia" w:ascii="宋体" w:hAnsi="宋体"/>
          <w:b/>
          <w:sz w:val="30"/>
          <w:szCs w:val="30"/>
          <w:lang w:val="en-US" w:eastAsia="zh-CN"/>
        </w:rPr>
        <w:t>塑料大棚番茄</w:t>
      </w:r>
      <w:r>
        <w:rPr>
          <w:rFonts w:hint="eastAsia" w:ascii="宋体" w:hAnsi="宋体"/>
          <w:b/>
          <w:sz w:val="30"/>
          <w:szCs w:val="30"/>
        </w:rPr>
        <w:t>》</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b/>
          <w:sz w:val="30"/>
          <w:szCs w:val="30"/>
        </w:rPr>
      </w:pPr>
      <w:r>
        <w:rPr>
          <w:rFonts w:hint="eastAsia" w:ascii="宋体" w:hAnsi="宋体"/>
          <w:b/>
          <w:sz w:val="30"/>
          <w:szCs w:val="30"/>
        </w:rPr>
        <w:t>编制说明</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b/>
          <w:sz w:val="30"/>
          <w:szCs w:val="30"/>
        </w:rPr>
      </w:pPr>
    </w:p>
    <w:p>
      <w:pPr>
        <w:spacing w:line="360" w:lineRule="auto"/>
        <w:ind w:firstLine="480" w:firstLineChars="200"/>
        <w:outlineLvl w:val="0"/>
        <w:rPr>
          <w:rFonts w:ascii="黑体" w:eastAsia="黑体"/>
          <w:sz w:val="24"/>
        </w:rPr>
      </w:pPr>
      <w:r>
        <w:rPr>
          <w:rFonts w:hint="eastAsia" w:ascii="黑体" w:eastAsia="黑体"/>
          <w:sz w:val="24"/>
        </w:rPr>
        <w:t>一、工作简况</w:t>
      </w:r>
    </w:p>
    <w:p>
      <w:pPr>
        <w:spacing w:line="360" w:lineRule="auto"/>
        <w:ind w:left="465"/>
        <w:outlineLvl w:val="1"/>
        <w:rPr>
          <w:rFonts w:ascii="楷体_GB2312" w:eastAsia="楷体_GB2312"/>
          <w:sz w:val="24"/>
        </w:rPr>
      </w:pPr>
      <w:r>
        <w:rPr>
          <w:rFonts w:hint="eastAsia" w:ascii="楷体_GB2312" w:eastAsia="楷体_GB2312"/>
          <w:sz w:val="24"/>
        </w:rPr>
        <w:t>1任务来源</w:t>
      </w:r>
    </w:p>
    <w:p>
      <w:pPr>
        <w:spacing w:line="360" w:lineRule="auto"/>
        <w:ind w:firstLine="480" w:firstLineChars="200"/>
        <w:jc w:val="left"/>
        <w:outlineLvl w:val="1"/>
        <w:rPr>
          <w:rFonts w:ascii="仿宋_GB2312" w:hAnsi="宋体" w:eastAsia="仿宋_GB2312"/>
          <w:sz w:val="24"/>
        </w:rPr>
      </w:pPr>
      <w:r>
        <w:rPr>
          <w:rFonts w:hint="eastAsia" w:ascii="仿宋_GB2312" w:hAnsi="宋体" w:eastAsia="仿宋_GB2312"/>
          <w:sz w:val="24"/>
          <w:lang w:val="en-US" w:eastAsia="zh-CN"/>
        </w:rPr>
        <w:t>按照</w:t>
      </w:r>
      <w:r>
        <w:rPr>
          <w:rFonts w:hint="eastAsia" w:ascii="仿宋_GB2312" w:hAnsi="宋体" w:eastAsia="仿宋_GB2312"/>
          <w:sz w:val="24"/>
        </w:rPr>
        <w:t>山西省市场监督管理局关于2022年度省级地方标准复审结论公告（山西省地方标准公告2022年第20号），《</w:t>
      </w:r>
      <w:r>
        <w:rPr>
          <w:rFonts w:hint="eastAsia" w:ascii="仿宋_GB2312" w:hAnsi="宋体" w:eastAsia="仿宋_GB2312"/>
          <w:sz w:val="24"/>
          <w:lang w:val="en-US" w:eastAsia="zh-CN"/>
        </w:rPr>
        <w:t>塑料大棚番茄高效固碳生产</w:t>
      </w:r>
      <w:r>
        <w:rPr>
          <w:rFonts w:hint="eastAsia" w:ascii="仿宋_GB2312" w:hAnsi="宋体" w:eastAsia="仿宋_GB2312"/>
          <w:sz w:val="24"/>
          <w:lang w:eastAsia="zh-CN"/>
        </w:rPr>
        <w:t>技术规程</w:t>
      </w:r>
      <w:r>
        <w:rPr>
          <w:rFonts w:hint="eastAsia" w:ascii="仿宋_GB2312" w:hAnsi="宋体" w:eastAsia="仿宋_GB2312"/>
          <w:sz w:val="24"/>
        </w:rPr>
        <w:t>》DB14/T</w:t>
      </w:r>
      <w:r>
        <w:rPr>
          <w:rFonts w:hint="eastAsia" w:ascii="仿宋_GB2312" w:hAnsi="宋体" w:eastAsia="仿宋_GB2312"/>
          <w:sz w:val="24"/>
          <w:lang w:val="en-US" w:eastAsia="zh-CN"/>
        </w:rPr>
        <w:t xml:space="preserve"> 1289</w:t>
      </w:r>
      <w:r>
        <w:rPr>
          <w:rFonts w:hint="eastAsia" w:ascii="仿宋_GB2312" w:hAnsi="宋体" w:eastAsia="仿宋_GB2312"/>
          <w:sz w:val="24"/>
        </w:rPr>
        <w:t>-</w:t>
      </w:r>
      <w:r>
        <w:rPr>
          <w:rFonts w:hint="eastAsia" w:ascii="仿宋_GB2312" w:hAnsi="宋体" w:eastAsia="仿宋_GB2312"/>
          <w:sz w:val="24"/>
          <w:lang w:val="en-US" w:eastAsia="zh-CN"/>
        </w:rPr>
        <w:t>2016被</w:t>
      </w:r>
      <w:r>
        <w:rPr>
          <w:rFonts w:hint="eastAsia" w:ascii="仿宋_GB2312" w:hAnsi="宋体" w:eastAsia="仿宋_GB2312"/>
          <w:sz w:val="24"/>
        </w:rPr>
        <w:t>列</w:t>
      </w:r>
      <w:r>
        <w:rPr>
          <w:rFonts w:hint="eastAsia" w:ascii="仿宋_GB2312" w:hAnsi="宋体" w:eastAsia="仿宋_GB2312"/>
          <w:sz w:val="24"/>
          <w:lang w:val="en-US" w:eastAsia="zh-CN"/>
        </w:rPr>
        <w:t>入</w:t>
      </w:r>
      <w:r>
        <w:rPr>
          <w:rFonts w:hint="eastAsia" w:ascii="仿宋_GB2312" w:hAnsi="宋体" w:eastAsia="仿宋_GB2312"/>
          <w:sz w:val="24"/>
        </w:rPr>
        <w:t>山西省地方标准修订计划，本标准由山西省农业标准化技术委员会（SXS/TC19）归口。</w:t>
      </w:r>
    </w:p>
    <w:p>
      <w:pPr>
        <w:spacing w:line="360" w:lineRule="auto"/>
        <w:ind w:left="465"/>
        <w:outlineLvl w:val="1"/>
        <w:rPr>
          <w:rFonts w:ascii="楷体_GB2312" w:eastAsia="楷体_GB2312"/>
          <w:sz w:val="24"/>
        </w:rPr>
      </w:pPr>
      <w:r>
        <w:rPr>
          <w:rFonts w:hint="eastAsia" w:ascii="楷体_GB2312" w:eastAsia="楷体_GB2312"/>
          <w:sz w:val="24"/>
        </w:rPr>
        <w:t>2 起草</w:t>
      </w:r>
      <w:r>
        <w:rPr>
          <w:rFonts w:ascii="楷体_GB2312" w:eastAsia="楷体_GB2312"/>
          <w:sz w:val="24"/>
        </w:rPr>
        <w:t>单位和主要起草人</w:t>
      </w:r>
    </w:p>
    <w:p>
      <w:pPr>
        <w:spacing w:line="360" w:lineRule="auto"/>
        <w:ind w:firstLine="480" w:firstLineChars="200"/>
        <w:jc w:val="left"/>
        <w:outlineLvl w:val="1"/>
        <w:rPr>
          <w:rFonts w:ascii="仿宋_GB2312" w:hAnsi="宋体" w:eastAsia="仿宋_GB2312"/>
          <w:sz w:val="24"/>
        </w:rPr>
      </w:pPr>
      <w:r>
        <w:rPr>
          <w:rFonts w:ascii="仿宋_GB2312" w:hAnsi="宋体" w:eastAsia="仿宋_GB2312"/>
          <w:sz w:val="24"/>
        </w:rPr>
        <w:t>起草任务由</w:t>
      </w:r>
      <w:r>
        <w:rPr>
          <w:rFonts w:hint="eastAsia" w:ascii="仿宋_GB2312" w:hAnsi="宋体" w:eastAsia="仿宋_GB2312"/>
          <w:sz w:val="24"/>
          <w:lang w:val="en-US" w:eastAsia="zh-CN"/>
        </w:rPr>
        <w:t>山西农业大学</w:t>
      </w:r>
      <w:r>
        <w:rPr>
          <w:rFonts w:hint="eastAsia" w:ascii="仿宋_GB2312" w:hAnsi="宋体" w:eastAsia="仿宋_GB2312"/>
          <w:sz w:val="24"/>
          <w:lang w:eastAsia="zh-CN"/>
        </w:rPr>
        <w:t>承担</w:t>
      </w:r>
      <w:r>
        <w:rPr>
          <w:rFonts w:ascii="仿宋_GB2312" w:hAnsi="宋体" w:eastAsia="仿宋_GB2312"/>
          <w:sz w:val="24"/>
        </w:rPr>
        <w:t>。</w:t>
      </w:r>
    </w:p>
    <w:p>
      <w:pPr>
        <w:spacing w:line="360" w:lineRule="auto"/>
        <w:ind w:firstLine="480" w:firstLineChars="200"/>
        <w:jc w:val="center"/>
        <w:outlineLvl w:val="1"/>
        <w:rPr>
          <w:rFonts w:ascii="仿宋_GB2312" w:hAnsi="宋体" w:eastAsia="仿宋_GB2312"/>
          <w:sz w:val="24"/>
        </w:rPr>
      </w:pPr>
      <w:r>
        <w:rPr>
          <w:rFonts w:ascii="仿宋_GB2312" w:hAnsi="宋体" w:eastAsia="仿宋_GB2312"/>
          <w:sz w:val="24"/>
        </w:rPr>
        <w:t>主要起草人信息</w:t>
      </w:r>
    </w:p>
    <w:tbl>
      <w:tblPr>
        <w:tblStyle w:val="12"/>
        <w:tblW w:w="86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993"/>
        <w:gridCol w:w="1701"/>
        <w:gridCol w:w="3472"/>
        <w:gridCol w:w="12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pPr>
              <w:spacing w:line="400" w:lineRule="exact"/>
              <w:jc w:val="center"/>
              <w:rPr>
                <w:rFonts w:ascii="仿宋" w:hAnsi="仿宋" w:eastAsia="仿宋" w:cs="Courier New"/>
                <w:sz w:val="21"/>
                <w:szCs w:val="21"/>
              </w:rPr>
            </w:pPr>
            <w:r>
              <w:rPr>
                <w:rFonts w:hint="eastAsia" w:ascii="仿宋" w:hAnsi="仿宋" w:eastAsia="仿宋" w:cs="Courier New"/>
                <w:sz w:val="21"/>
                <w:szCs w:val="21"/>
              </w:rPr>
              <w:t>姓名</w:t>
            </w:r>
          </w:p>
        </w:tc>
        <w:tc>
          <w:tcPr>
            <w:tcW w:w="993" w:type="dxa"/>
          </w:tcPr>
          <w:p>
            <w:pPr>
              <w:spacing w:line="400" w:lineRule="exact"/>
              <w:jc w:val="center"/>
              <w:rPr>
                <w:rFonts w:ascii="仿宋" w:hAnsi="仿宋" w:eastAsia="仿宋" w:cs="Courier New"/>
                <w:sz w:val="21"/>
                <w:szCs w:val="21"/>
              </w:rPr>
            </w:pPr>
            <w:r>
              <w:rPr>
                <w:rFonts w:hint="eastAsia" w:ascii="仿宋" w:hAnsi="仿宋" w:eastAsia="仿宋" w:cs="Courier New"/>
                <w:sz w:val="21"/>
                <w:szCs w:val="21"/>
              </w:rPr>
              <w:t>性别</w:t>
            </w:r>
          </w:p>
        </w:tc>
        <w:tc>
          <w:tcPr>
            <w:tcW w:w="1701" w:type="dxa"/>
          </w:tcPr>
          <w:p>
            <w:pPr>
              <w:spacing w:line="400" w:lineRule="exact"/>
              <w:jc w:val="center"/>
              <w:rPr>
                <w:rFonts w:ascii="仿宋" w:hAnsi="仿宋" w:eastAsia="仿宋" w:cs="Courier New"/>
                <w:sz w:val="21"/>
                <w:szCs w:val="21"/>
              </w:rPr>
            </w:pPr>
            <w:r>
              <w:rPr>
                <w:rFonts w:hint="eastAsia" w:ascii="仿宋" w:hAnsi="仿宋" w:eastAsia="仿宋" w:cs="Courier New"/>
                <w:sz w:val="21"/>
                <w:szCs w:val="21"/>
              </w:rPr>
              <w:t>职务/职称</w:t>
            </w:r>
          </w:p>
        </w:tc>
        <w:tc>
          <w:tcPr>
            <w:tcW w:w="3472" w:type="dxa"/>
          </w:tcPr>
          <w:p>
            <w:pPr>
              <w:spacing w:line="400" w:lineRule="exact"/>
              <w:jc w:val="center"/>
              <w:rPr>
                <w:rFonts w:ascii="仿宋" w:hAnsi="仿宋" w:eastAsia="仿宋" w:cs="Courier New"/>
                <w:sz w:val="21"/>
                <w:szCs w:val="21"/>
              </w:rPr>
            </w:pPr>
            <w:r>
              <w:rPr>
                <w:rFonts w:hint="eastAsia" w:ascii="仿宋" w:hAnsi="仿宋" w:eastAsia="仿宋" w:cs="Courier New"/>
                <w:sz w:val="21"/>
                <w:szCs w:val="21"/>
              </w:rPr>
              <w:t>工作单位</w:t>
            </w:r>
          </w:p>
        </w:tc>
        <w:tc>
          <w:tcPr>
            <w:tcW w:w="1263" w:type="dxa"/>
          </w:tcPr>
          <w:p>
            <w:pPr>
              <w:spacing w:line="400" w:lineRule="exact"/>
              <w:jc w:val="center"/>
              <w:rPr>
                <w:rFonts w:ascii="仿宋" w:hAnsi="仿宋" w:eastAsia="仿宋" w:cs="Courier New"/>
                <w:sz w:val="21"/>
                <w:szCs w:val="21"/>
              </w:rPr>
            </w:pPr>
            <w:r>
              <w:rPr>
                <w:rFonts w:hint="eastAsia" w:ascii="仿宋" w:hAnsi="仿宋" w:eastAsia="仿宋" w:cs="Courier New"/>
                <w:sz w:val="21"/>
                <w:szCs w:val="21"/>
              </w:rPr>
              <w:t>任务分工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Times New Roman" w:hAnsi="Times New Roman" w:eastAsia="宋体" w:cs="Times New Roman"/>
                <w:sz w:val="21"/>
                <w:szCs w:val="21"/>
                <w:lang w:eastAsia="zh-CN"/>
              </w:rPr>
            </w:pPr>
            <w:r>
              <w:rPr>
                <w:rFonts w:hint="eastAsia" w:ascii="Times New Roman" w:hAnsi="Times New Roman" w:eastAsia="仿宋"/>
                <w:b w:val="0"/>
                <w:bCs w:val="0"/>
                <w:sz w:val="21"/>
                <w:szCs w:val="21"/>
              </w:rPr>
              <w:t>郑少文</w:t>
            </w:r>
          </w:p>
        </w:tc>
        <w:tc>
          <w:tcPr>
            <w:tcW w:w="99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男</w:t>
            </w:r>
          </w:p>
        </w:tc>
        <w:tc>
          <w:tcPr>
            <w:tcW w:w="1701"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副教授</w:t>
            </w:r>
          </w:p>
        </w:tc>
        <w:tc>
          <w:tcPr>
            <w:tcW w:w="347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山西农业大学</w:t>
            </w:r>
          </w:p>
        </w:tc>
        <w:tc>
          <w:tcPr>
            <w:tcW w:w="126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总体编制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Times New Roman" w:hAnsi="Times New Roman" w:eastAsia="宋体" w:cs="Times New Roman"/>
                <w:sz w:val="21"/>
                <w:szCs w:val="21"/>
                <w:lang w:eastAsia="zh-CN"/>
              </w:rPr>
            </w:pPr>
            <w:r>
              <w:rPr>
                <w:rFonts w:hint="eastAsia" w:eastAsia="仿宋"/>
                <w:b w:val="0"/>
                <w:bCs w:val="0"/>
                <w:sz w:val="21"/>
                <w:szCs w:val="21"/>
                <w:lang w:eastAsia="zh-CN"/>
              </w:rPr>
              <w:t>李云霞</w:t>
            </w:r>
          </w:p>
        </w:tc>
        <w:tc>
          <w:tcPr>
            <w:tcW w:w="99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女</w:t>
            </w:r>
          </w:p>
        </w:tc>
        <w:tc>
          <w:tcPr>
            <w:tcW w:w="1701"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无</w:t>
            </w:r>
          </w:p>
        </w:tc>
        <w:tc>
          <w:tcPr>
            <w:tcW w:w="347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左云县鹊儿山镇便民服务中心</w:t>
            </w:r>
          </w:p>
        </w:tc>
        <w:tc>
          <w:tcPr>
            <w:tcW w:w="126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数据验证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Times New Roman" w:hAnsi="Times New Roman" w:eastAsia="宋体" w:cs="Times New Roman"/>
                <w:sz w:val="21"/>
                <w:szCs w:val="21"/>
                <w:lang w:eastAsia="zh-CN"/>
              </w:rPr>
            </w:pPr>
            <w:r>
              <w:rPr>
                <w:rFonts w:hint="eastAsia" w:eastAsia="仿宋"/>
                <w:b w:val="0"/>
                <w:bCs w:val="0"/>
                <w:sz w:val="21"/>
                <w:szCs w:val="21"/>
                <w:vertAlign w:val="baseline"/>
                <w:lang w:val="en-US" w:eastAsia="zh-CN"/>
              </w:rPr>
              <w:t>武屹栋</w:t>
            </w:r>
          </w:p>
        </w:tc>
        <w:tc>
          <w:tcPr>
            <w:tcW w:w="99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男</w:t>
            </w:r>
          </w:p>
        </w:tc>
        <w:tc>
          <w:tcPr>
            <w:tcW w:w="1701"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研究生</w:t>
            </w:r>
          </w:p>
        </w:tc>
        <w:tc>
          <w:tcPr>
            <w:tcW w:w="347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山西农业大学</w:t>
            </w:r>
          </w:p>
        </w:tc>
        <w:tc>
          <w:tcPr>
            <w:tcW w:w="126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数据验证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Times New Roman" w:hAnsi="Times New Roman" w:eastAsia="宋体" w:cs="Times New Roman"/>
                <w:sz w:val="21"/>
                <w:szCs w:val="21"/>
                <w:lang w:eastAsia="zh-CN"/>
              </w:rPr>
            </w:pPr>
            <w:r>
              <w:rPr>
                <w:rFonts w:hint="eastAsia" w:ascii="Times New Roman" w:hAnsi="Times New Roman" w:eastAsia="仿宋"/>
                <w:b w:val="0"/>
                <w:bCs w:val="0"/>
                <w:sz w:val="21"/>
                <w:szCs w:val="21"/>
              </w:rPr>
              <w:t>宋红霞</w:t>
            </w:r>
          </w:p>
        </w:tc>
        <w:tc>
          <w:tcPr>
            <w:tcW w:w="99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女</w:t>
            </w:r>
          </w:p>
        </w:tc>
        <w:tc>
          <w:tcPr>
            <w:tcW w:w="1701"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副教授</w:t>
            </w:r>
          </w:p>
        </w:tc>
        <w:tc>
          <w:tcPr>
            <w:tcW w:w="347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山西农业大学</w:t>
            </w:r>
          </w:p>
        </w:tc>
        <w:tc>
          <w:tcPr>
            <w:tcW w:w="126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文本编撰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Times New Roman" w:hAnsi="Times New Roman" w:eastAsia="宋体" w:cs="Times New Roman"/>
                <w:sz w:val="21"/>
                <w:szCs w:val="21"/>
                <w:lang w:eastAsia="zh-CN"/>
              </w:rPr>
            </w:pPr>
            <w:r>
              <w:rPr>
                <w:rFonts w:hint="eastAsia" w:ascii="Times New Roman" w:hAnsi="Times New Roman" w:eastAsia="仿宋"/>
                <w:b w:val="0"/>
                <w:bCs w:val="0"/>
                <w:sz w:val="21"/>
                <w:szCs w:val="21"/>
              </w:rPr>
              <w:t>聂红玫</w:t>
            </w:r>
          </w:p>
        </w:tc>
        <w:tc>
          <w:tcPr>
            <w:tcW w:w="99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女</w:t>
            </w:r>
          </w:p>
        </w:tc>
        <w:tc>
          <w:tcPr>
            <w:tcW w:w="1701"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讲师</w:t>
            </w:r>
          </w:p>
        </w:tc>
        <w:tc>
          <w:tcPr>
            <w:tcW w:w="347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山西农业大学</w:t>
            </w:r>
          </w:p>
        </w:tc>
        <w:tc>
          <w:tcPr>
            <w:tcW w:w="126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文本编撰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Times New Roman" w:hAnsi="Times New Roman" w:eastAsia="宋体" w:cs="Times New Roman"/>
                <w:sz w:val="21"/>
                <w:szCs w:val="21"/>
                <w:lang w:eastAsia="zh-CN"/>
              </w:rPr>
            </w:pPr>
            <w:r>
              <w:rPr>
                <w:rFonts w:ascii="Times New Roman" w:hAnsi="Times New Roman" w:eastAsia="仿宋"/>
                <w:b w:val="0"/>
                <w:bCs w:val="0"/>
                <w:sz w:val="21"/>
                <w:szCs w:val="21"/>
              </w:rPr>
              <w:t>侯雷平</w:t>
            </w:r>
          </w:p>
        </w:tc>
        <w:tc>
          <w:tcPr>
            <w:tcW w:w="99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男</w:t>
            </w:r>
          </w:p>
        </w:tc>
        <w:tc>
          <w:tcPr>
            <w:tcW w:w="1701"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教授</w:t>
            </w:r>
          </w:p>
        </w:tc>
        <w:tc>
          <w:tcPr>
            <w:tcW w:w="347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lang w:eastAsia="zh-CN"/>
              </w:rPr>
            </w:pPr>
            <w:r>
              <w:rPr>
                <w:rFonts w:hint="eastAsia" w:eastAsia="仿宋"/>
                <w:b w:val="0"/>
                <w:bCs w:val="0"/>
                <w:sz w:val="21"/>
                <w:szCs w:val="21"/>
                <w:vertAlign w:val="baseline"/>
                <w:lang w:val="en-US" w:eastAsia="zh-CN"/>
              </w:rPr>
              <w:t>山西农业大学</w:t>
            </w:r>
          </w:p>
        </w:tc>
        <w:tc>
          <w:tcPr>
            <w:tcW w:w="126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ascii="仿宋" w:hAnsi="仿宋" w:eastAsia="仿宋" w:cs="Courier New"/>
                <w:sz w:val="21"/>
                <w:szCs w:val="21"/>
              </w:rPr>
            </w:pPr>
            <w:r>
              <w:rPr>
                <w:rFonts w:hint="eastAsia" w:eastAsia="仿宋"/>
                <w:b w:val="0"/>
                <w:bCs w:val="0"/>
                <w:sz w:val="21"/>
                <w:szCs w:val="21"/>
                <w:vertAlign w:val="baseline"/>
                <w:lang w:val="en-US" w:eastAsia="zh-CN"/>
              </w:rPr>
              <w:t>技术顾问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ascii="Times New Roman" w:hAnsi="Times New Roman" w:eastAsia="仿宋"/>
                <w:b w:val="0"/>
                <w:bCs w:val="0"/>
                <w:sz w:val="21"/>
                <w:szCs w:val="21"/>
              </w:rPr>
            </w:pPr>
            <w:r>
              <w:rPr>
                <w:rFonts w:hint="eastAsia" w:ascii="Times New Roman" w:hAnsi="Times New Roman" w:eastAsia="仿宋"/>
                <w:b w:val="0"/>
                <w:bCs w:val="0"/>
                <w:sz w:val="21"/>
                <w:szCs w:val="21"/>
              </w:rPr>
              <w:t>邢国明</w:t>
            </w:r>
          </w:p>
        </w:tc>
        <w:tc>
          <w:tcPr>
            <w:tcW w:w="99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eastAsia="仿宋"/>
                <w:b w:val="0"/>
                <w:bCs w:val="0"/>
                <w:sz w:val="21"/>
                <w:szCs w:val="21"/>
                <w:vertAlign w:val="baseline"/>
                <w:lang w:val="en-US" w:eastAsia="zh-CN"/>
              </w:rPr>
            </w:pPr>
            <w:r>
              <w:rPr>
                <w:rFonts w:hint="eastAsia" w:eastAsia="仿宋"/>
                <w:b w:val="0"/>
                <w:bCs w:val="0"/>
                <w:sz w:val="21"/>
                <w:szCs w:val="21"/>
                <w:vertAlign w:val="baseline"/>
                <w:lang w:val="en-US" w:eastAsia="zh-CN"/>
              </w:rPr>
              <w:t>男</w:t>
            </w:r>
          </w:p>
        </w:tc>
        <w:tc>
          <w:tcPr>
            <w:tcW w:w="1701"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eastAsia="仿宋"/>
                <w:b w:val="0"/>
                <w:bCs w:val="0"/>
                <w:sz w:val="21"/>
                <w:szCs w:val="21"/>
                <w:vertAlign w:val="baseline"/>
                <w:lang w:val="en-US" w:eastAsia="zh-CN"/>
              </w:rPr>
            </w:pPr>
            <w:r>
              <w:rPr>
                <w:rFonts w:hint="eastAsia" w:eastAsia="仿宋"/>
                <w:b w:val="0"/>
                <w:bCs w:val="0"/>
                <w:sz w:val="21"/>
                <w:szCs w:val="21"/>
                <w:vertAlign w:val="baseline"/>
                <w:lang w:val="en-US" w:eastAsia="zh-CN"/>
              </w:rPr>
              <w:t>教授</w:t>
            </w:r>
          </w:p>
        </w:tc>
        <w:tc>
          <w:tcPr>
            <w:tcW w:w="3472"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eastAsia="仿宋"/>
                <w:b w:val="0"/>
                <w:bCs w:val="0"/>
                <w:sz w:val="21"/>
                <w:szCs w:val="21"/>
                <w:vertAlign w:val="baseline"/>
                <w:lang w:val="en-US" w:eastAsia="zh-CN"/>
              </w:rPr>
            </w:pPr>
            <w:r>
              <w:rPr>
                <w:rFonts w:hint="eastAsia" w:eastAsia="仿宋"/>
                <w:b w:val="0"/>
                <w:bCs w:val="0"/>
                <w:sz w:val="21"/>
                <w:szCs w:val="21"/>
                <w:vertAlign w:val="baseline"/>
                <w:lang w:val="en-US" w:eastAsia="zh-CN"/>
              </w:rPr>
              <w:t>山西农业大学</w:t>
            </w:r>
          </w:p>
        </w:tc>
        <w:tc>
          <w:tcPr>
            <w:tcW w:w="1263" w:type="dxa"/>
            <w:vAlign w:val="top"/>
          </w:tcPr>
          <w:p>
            <w:pPr>
              <w:keepNext w:val="0"/>
              <w:keepLines w:val="0"/>
              <w:pageBreakBefore w:val="0"/>
              <w:numPr>
                <w:ilvl w:val="0"/>
                <w:numId w:val="0"/>
              </w:numPr>
              <w:kinsoku/>
              <w:wordWrap/>
              <w:overflowPunct/>
              <w:topLinePunct w:val="0"/>
              <w:bidi w:val="0"/>
              <w:snapToGrid/>
              <w:spacing w:line="380" w:lineRule="exact"/>
              <w:ind w:left="0" w:leftChars="0" w:firstLine="0" w:firstLineChars="0"/>
              <w:jc w:val="center"/>
              <w:textAlignment w:val="auto"/>
              <w:rPr>
                <w:rFonts w:hint="eastAsia" w:eastAsia="仿宋"/>
                <w:b w:val="0"/>
                <w:bCs w:val="0"/>
                <w:sz w:val="21"/>
                <w:szCs w:val="21"/>
                <w:vertAlign w:val="baseline"/>
                <w:lang w:val="en-US" w:eastAsia="zh-CN"/>
              </w:rPr>
            </w:pPr>
            <w:r>
              <w:rPr>
                <w:rFonts w:hint="eastAsia" w:eastAsia="仿宋"/>
                <w:b w:val="0"/>
                <w:bCs w:val="0"/>
                <w:sz w:val="21"/>
                <w:szCs w:val="21"/>
                <w:vertAlign w:val="baseline"/>
                <w:lang w:val="en-US" w:eastAsia="zh-CN"/>
              </w:rPr>
              <w:t>技术顾问</w:t>
            </w:r>
          </w:p>
        </w:tc>
      </w:tr>
    </w:tbl>
    <w:p>
      <w:pPr>
        <w:spacing w:line="360" w:lineRule="auto"/>
        <w:ind w:firstLine="480" w:firstLineChars="200"/>
        <w:outlineLvl w:val="0"/>
        <w:rPr>
          <w:rFonts w:ascii="楷体" w:hAnsi="楷体" w:eastAsia="楷体" w:cs="Courier New"/>
          <w:sz w:val="28"/>
          <w:szCs w:val="28"/>
        </w:rPr>
      </w:pPr>
      <w:r>
        <w:rPr>
          <w:rFonts w:ascii="黑体" w:eastAsia="黑体"/>
          <w:sz w:val="24"/>
        </w:rPr>
        <w:t>二、</w:t>
      </w:r>
      <w:r>
        <w:rPr>
          <w:rFonts w:hint="eastAsia" w:ascii="黑体" w:eastAsia="黑体"/>
          <w:sz w:val="24"/>
        </w:rPr>
        <w:t>修</w:t>
      </w:r>
      <w:r>
        <w:rPr>
          <w:rFonts w:ascii="黑体" w:eastAsia="黑体"/>
          <w:sz w:val="24"/>
        </w:rPr>
        <w:t>订标准的必要性和意义</w:t>
      </w:r>
    </w:p>
    <w:p>
      <w:pPr>
        <w:spacing w:line="360" w:lineRule="auto"/>
        <w:ind w:firstLine="480" w:firstLineChars="200"/>
        <w:rPr>
          <w:rFonts w:hint="eastAsia" w:ascii="Times New Roman" w:hAnsi="Times New Roman" w:eastAsia="仿宋_GB2312" w:cs="Times New Roman"/>
          <w:sz w:val="24"/>
          <w:szCs w:val="24"/>
          <w:lang w:val="en-US" w:eastAsia="zh-CN"/>
        </w:rPr>
      </w:pPr>
      <w:r>
        <w:rPr>
          <w:rFonts w:hint="eastAsia" w:ascii="Times New Roman" w:hAnsi="Times New Roman" w:eastAsia="仿宋_GB2312" w:cs="Times New Roman"/>
          <w:sz w:val="24"/>
          <w:szCs w:val="24"/>
          <w:lang w:val="en-US" w:eastAsia="zh-CN"/>
        </w:rPr>
        <w:t>CO</w:t>
      </w:r>
      <w:r>
        <w:rPr>
          <w:rFonts w:hint="eastAsia" w:ascii="Times New Roman" w:hAnsi="Times New Roman" w:eastAsia="仿宋_GB2312" w:cs="Times New Roman"/>
          <w:sz w:val="24"/>
          <w:szCs w:val="24"/>
          <w:vertAlign w:val="subscript"/>
          <w:lang w:val="en-US" w:eastAsia="zh-CN"/>
        </w:rPr>
        <w:t>2</w:t>
      </w:r>
      <w:r>
        <w:rPr>
          <w:rFonts w:hint="eastAsia" w:ascii="Times New Roman" w:hAnsi="Times New Roman" w:eastAsia="仿宋_GB2312" w:cs="Times New Roman"/>
          <w:sz w:val="24"/>
          <w:szCs w:val="24"/>
          <w:lang w:val="en-US" w:eastAsia="zh-CN"/>
        </w:rPr>
        <w:t>是植物光合作用的主要原料，也是温室中影响植物生长的主要因素之一。将捕集的CO</w:t>
      </w:r>
      <w:r>
        <w:rPr>
          <w:rFonts w:hint="eastAsia" w:ascii="Times New Roman" w:hAnsi="Times New Roman" w:eastAsia="仿宋_GB2312" w:cs="Times New Roman"/>
          <w:sz w:val="24"/>
          <w:szCs w:val="24"/>
          <w:vertAlign w:val="subscript"/>
          <w:lang w:val="en-US" w:eastAsia="zh-CN"/>
        </w:rPr>
        <w:t>2</w:t>
      </w:r>
      <w:r>
        <w:rPr>
          <w:rFonts w:hint="eastAsia" w:ascii="Times New Roman" w:hAnsi="Times New Roman" w:eastAsia="仿宋_GB2312" w:cs="Times New Roman"/>
          <w:sz w:val="24"/>
          <w:szCs w:val="24"/>
          <w:lang w:val="en-US" w:eastAsia="zh-CN"/>
        </w:rPr>
        <w:t>作为气肥应用于设施生产中，依靠光合速率的提高，吸收转化更多的CO</w:t>
      </w:r>
      <w:r>
        <w:rPr>
          <w:rFonts w:hint="eastAsia" w:ascii="Times New Roman" w:hAnsi="Times New Roman" w:eastAsia="仿宋_GB2312" w:cs="Times New Roman"/>
          <w:sz w:val="24"/>
          <w:szCs w:val="24"/>
          <w:vertAlign w:val="subscript"/>
          <w:lang w:val="en-US" w:eastAsia="zh-CN"/>
        </w:rPr>
        <w:t>2</w:t>
      </w:r>
      <w:r>
        <w:rPr>
          <w:rFonts w:hint="eastAsia" w:ascii="Times New Roman" w:hAnsi="Times New Roman" w:eastAsia="仿宋_GB2312" w:cs="Times New Roman"/>
          <w:sz w:val="24"/>
          <w:szCs w:val="24"/>
          <w:lang w:val="en-US" w:eastAsia="zh-CN"/>
        </w:rPr>
        <w:t>形成有机物，是实现作物高产、优质的重要技术措施之一。</w:t>
      </w:r>
      <w:r>
        <w:rPr>
          <w:rFonts w:eastAsia="仿宋_GB2312"/>
          <w:sz w:val="24"/>
        </w:rPr>
        <w:t>富碳农业可以将工业过剩CO</w:t>
      </w:r>
      <w:r>
        <w:rPr>
          <w:rFonts w:eastAsia="仿宋_GB2312"/>
          <w:sz w:val="24"/>
          <w:vertAlign w:val="subscript"/>
        </w:rPr>
        <w:t>2</w:t>
      </w:r>
      <w:r>
        <w:rPr>
          <w:rFonts w:eastAsia="仿宋_GB2312"/>
          <w:sz w:val="24"/>
        </w:rPr>
        <w:t>用于农业生产。CO</w:t>
      </w:r>
      <w:r>
        <w:rPr>
          <w:rFonts w:eastAsia="仿宋_GB2312"/>
          <w:sz w:val="24"/>
          <w:vertAlign w:val="subscript"/>
        </w:rPr>
        <w:t>2</w:t>
      </w:r>
      <w:r>
        <w:rPr>
          <w:rFonts w:eastAsia="仿宋_GB2312"/>
          <w:sz w:val="24"/>
        </w:rPr>
        <w:t>是一种丰富的碳资源，高CO</w:t>
      </w:r>
      <w:r>
        <w:rPr>
          <w:rFonts w:eastAsia="仿宋_GB2312"/>
          <w:sz w:val="24"/>
          <w:vertAlign w:val="subscript"/>
        </w:rPr>
        <w:t>2</w:t>
      </w:r>
      <w:r>
        <w:rPr>
          <w:rFonts w:eastAsia="仿宋_GB2312"/>
          <w:sz w:val="24"/>
        </w:rPr>
        <w:t>浓度下农作物可通过光合作用固定更多的CO</w:t>
      </w:r>
      <w:r>
        <w:rPr>
          <w:rFonts w:eastAsia="仿宋_GB2312"/>
          <w:sz w:val="24"/>
          <w:vertAlign w:val="subscript"/>
        </w:rPr>
        <w:t>2</w:t>
      </w:r>
      <w:r>
        <w:rPr>
          <w:rFonts w:eastAsia="仿宋_GB2312"/>
          <w:sz w:val="24"/>
        </w:rPr>
        <w:t>提高其产量，从而养活更多的人口。设施蔬菜具有节能、高效、高投入、高产出和半密闭环境的特点，是开展富碳农业产业创新链的首选产业。</w:t>
      </w:r>
      <w:r>
        <w:rPr>
          <w:rFonts w:hint="eastAsia" w:ascii="仿宋_GB2312" w:hAnsi="仿宋" w:eastAsia="仿宋_GB2312" w:cs="Times New Roman"/>
          <w:sz w:val="24"/>
          <w:szCs w:val="24"/>
          <w:lang w:val="en-US" w:eastAsia="zh-CN"/>
        </w:rPr>
        <w:t>2022年山西省蔬菜种植面积达到346万亩，</w:t>
      </w:r>
      <w:r>
        <w:rPr>
          <w:rFonts w:hint="eastAsia" w:ascii="Times New Roman" w:hAnsi="Times New Roman" w:eastAsia="仿宋_GB2312" w:cs="Times New Roman"/>
          <w:sz w:val="24"/>
          <w:szCs w:val="24"/>
          <w:lang w:val="en-US" w:eastAsia="zh-CN"/>
        </w:rPr>
        <w:t>总产值约为450亿元，其中设施蔬菜面积90余万亩，占26.01%，设施蔬菜产值约为200余亿元，占44.4%。设施蔬菜已成为山西省农业的主导产业，设施蔬菜产业的优质高效可持续发展关系着山西省农业发展的全局。</w:t>
      </w:r>
    </w:p>
    <w:p>
      <w:pPr>
        <w:spacing w:line="360" w:lineRule="auto"/>
        <w:ind w:firstLine="480" w:firstLineChars="200"/>
        <w:rPr>
          <w:rFonts w:hint="eastAsia" w:ascii="Times New Roman" w:hAnsi="Times New Roman" w:eastAsia="仿宋_GB2312" w:cs="Times New Roman"/>
          <w:sz w:val="24"/>
          <w:szCs w:val="24"/>
          <w:lang w:val="en-US" w:eastAsia="zh-CN"/>
        </w:rPr>
      </w:pPr>
      <w:r>
        <w:rPr>
          <w:rFonts w:hint="eastAsia" w:ascii="Times New Roman" w:hAnsi="Times New Roman" w:eastAsia="仿宋_GB2312" w:cs="Times New Roman"/>
          <w:sz w:val="24"/>
          <w:szCs w:val="24"/>
          <w:lang w:val="en-US" w:eastAsia="zh-CN"/>
        </w:rPr>
        <w:t>番茄是山西省塑料大棚主栽蔬菜之一，占有较大的塑料大棚蔬菜种植面积。在塑料大棚番茄的生产过程中，适量增加设施内的CO</w:t>
      </w:r>
      <w:r>
        <w:rPr>
          <w:rFonts w:hint="eastAsia" w:ascii="Times New Roman" w:hAnsi="Times New Roman" w:eastAsia="仿宋_GB2312" w:cs="Times New Roman"/>
          <w:sz w:val="24"/>
          <w:szCs w:val="24"/>
          <w:vertAlign w:val="subscript"/>
          <w:lang w:val="en-US" w:eastAsia="zh-CN"/>
        </w:rPr>
        <w:t>2</w:t>
      </w:r>
      <w:r>
        <w:rPr>
          <w:rFonts w:hint="eastAsia" w:ascii="Times New Roman" w:hAnsi="Times New Roman" w:eastAsia="仿宋_GB2312" w:cs="Times New Roman"/>
          <w:sz w:val="24"/>
          <w:szCs w:val="24"/>
          <w:lang w:val="en-US" w:eastAsia="zh-CN"/>
        </w:rPr>
        <w:t>浓度能够较大程度地提高番茄产量和品质，实现节本增效，提高农民收入。如何规范塑料大棚番茄固碳生产技术，使广大塑料大棚番茄种植者有据可依，已成为我们亟待解决的一个突出问题。</w:t>
      </w:r>
    </w:p>
    <w:p>
      <w:pPr>
        <w:spacing w:line="360" w:lineRule="auto"/>
        <w:ind w:firstLine="480" w:firstLineChars="200"/>
        <w:rPr>
          <w:rFonts w:hint="eastAsia" w:ascii="Times New Roman" w:hAnsi="Times New Roman" w:eastAsia="仿宋_GB2312" w:cs="Times New Roman"/>
          <w:sz w:val="24"/>
          <w:szCs w:val="24"/>
          <w:highlight w:val="yellow"/>
          <w:lang w:val="en-US" w:eastAsia="zh-CN"/>
        </w:rPr>
      </w:pPr>
      <w:r>
        <w:rPr>
          <w:rFonts w:hint="eastAsia" w:ascii="Times New Roman" w:hAnsi="Times New Roman" w:eastAsia="仿宋_GB2312" w:cs="Times New Roman"/>
          <w:sz w:val="24"/>
          <w:szCs w:val="24"/>
          <w:lang w:val="en-US" w:eastAsia="zh-CN"/>
        </w:rPr>
        <w:t>规范标准的</w:t>
      </w:r>
      <w:r>
        <w:rPr>
          <w:rFonts w:hint="eastAsia" w:ascii="Times New Roman" w:hAnsi="Times New Roman" w:eastAsia="仿宋_GB2312" w:cs="Times New Roman"/>
          <w:bCs/>
          <w:sz w:val="24"/>
          <w:lang w:val="en-US" w:eastAsia="zh-CN"/>
        </w:rPr>
        <w:t>提出、组织实施、监督检查与归口单位，</w:t>
      </w:r>
      <w:r>
        <w:rPr>
          <w:rFonts w:hint="eastAsia" w:ascii="Times New Roman" w:hAnsi="Times New Roman" w:eastAsia="仿宋_GB2312" w:cs="Times New Roman"/>
          <w:sz w:val="24"/>
          <w:szCs w:val="24"/>
          <w:lang w:val="en-US" w:eastAsia="zh-CN"/>
        </w:rPr>
        <w:t>进一步完善</w:t>
      </w:r>
      <w:r>
        <w:rPr>
          <w:rFonts w:hint="eastAsia" w:ascii="Times New Roman" w:hAnsi="Times New Roman" w:eastAsia="仿宋_GB2312" w:cs="Times New Roman"/>
          <w:bCs/>
          <w:sz w:val="24"/>
          <w:lang w:val="en-US" w:eastAsia="zh-CN"/>
        </w:rPr>
        <w:t>前言部分内容、调整文本格式。</w:t>
      </w:r>
      <w:r>
        <w:rPr>
          <w:rFonts w:hint="eastAsia" w:ascii="Times New Roman" w:hAnsi="Times New Roman" w:eastAsia="仿宋_GB2312" w:cs="Times New Roman"/>
          <w:sz w:val="24"/>
          <w:szCs w:val="24"/>
          <w:lang w:val="en-US" w:eastAsia="zh-CN"/>
        </w:rPr>
        <w:t>整合修订塑料大棚番茄高效固碳栽培的技术标准对在冬季番茄生产过程中进行二氧化碳施肥有很重要的指导作用，非常必要。</w:t>
      </w:r>
    </w:p>
    <w:p>
      <w:pPr>
        <w:spacing w:line="360" w:lineRule="auto"/>
        <w:ind w:firstLine="480" w:firstLineChars="200"/>
        <w:outlineLvl w:val="0"/>
        <w:rPr>
          <w:rFonts w:ascii="Times New Roman" w:hAnsi="Times New Roman" w:eastAsia="黑体" w:cs="Times New Roman"/>
          <w:sz w:val="24"/>
        </w:rPr>
      </w:pPr>
      <w:r>
        <w:rPr>
          <w:rFonts w:ascii="Times New Roman" w:hAnsi="Times New Roman" w:eastAsia="黑体" w:cs="Times New Roman"/>
          <w:sz w:val="24"/>
        </w:rPr>
        <w:t>三、主要</w:t>
      </w:r>
      <w:r>
        <w:rPr>
          <w:rFonts w:hint="eastAsia" w:ascii="Times New Roman" w:hAnsi="Times New Roman" w:eastAsia="黑体" w:cs="Times New Roman"/>
          <w:sz w:val="24"/>
        </w:rPr>
        <w:t>修订</w:t>
      </w:r>
      <w:r>
        <w:rPr>
          <w:rFonts w:ascii="Times New Roman" w:hAnsi="Times New Roman" w:eastAsia="黑体" w:cs="Times New Roman"/>
          <w:sz w:val="24"/>
        </w:rPr>
        <w:t>工作过程</w:t>
      </w:r>
    </w:p>
    <w:p>
      <w:pPr>
        <w:spacing w:line="360" w:lineRule="auto"/>
        <w:ind w:firstLine="480" w:firstLineChars="200"/>
        <w:rPr>
          <w:rFonts w:ascii="Times New Roman" w:hAnsi="Times New Roman" w:eastAsia="仿宋_GB2312" w:cs="Times New Roman"/>
          <w:bCs/>
          <w:sz w:val="24"/>
        </w:rPr>
      </w:pPr>
      <w:r>
        <w:rPr>
          <w:rFonts w:hint="eastAsia" w:ascii="Times New Roman" w:hAnsi="Times New Roman" w:eastAsia="仿宋_GB2312" w:cs="Times New Roman"/>
          <w:bCs/>
          <w:sz w:val="24"/>
        </w:rPr>
        <w:t>1、成立标准修订工作组</w:t>
      </w:r>
    </w:p>
    <w:p>
      <w:p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2023年7月，接到项目任务以后，我们积极组织技术骨干成立《塑料大棚番茄高效固碳生产技术规程》修订工作组，工作组成员具有较丰富的专业知识和实践经验，熟悉业务，了解标准化工作的相关规定并具有较强的文字表达能力。工作组成立后，认真学习了GB/T 1.1-2020《标准化工作导则 第1部分：标准化文件的结构和起草规则》和相关的国家标准与地方标准，制定了工作计划，明确了内部分工及进度要求，责任落实到人。主要修订人员于2023年7月27日参加了省农业标准化技术委员会开展的农业地方标准专题技术培训，进一步明确了地方标准修订方法及技术要点。</w:t>
      </w:r>
    </w:p>
    <w:p>
      <w:pPr>
        <w:spacing w:line="360" w:lineRule="auto"/>
        <w:ind w:firstLine="480" w:firstLineChars="200"/>
        <w:rPr>
          <w:rFonts w:ascii="Times New Roman" w:hAnsi="Times New Roman" w:eastAsia="仿宋_GB2312" w:cs="Times New Roman"/>
          <w:bCs/>
          <w:sz w:val="24"/>
        </w:rPr>
      </w:pPr>
      <w:r>
        <w:rPr>
          <w:rFonts w:hint="eastAsia" w:ascii="Times New Roman" w:hAnsi="Times New Roman" w:eastAsia="仿宋_GB2312" w:cs="Times New Roman"/>
          <w:bCs/>
          <w:sz w:val="24"/>
        </w:rPr>
        <w:t>2、调研考察</w:t>
      </w:r>
    </w:p>
    <w:p>
      <w:p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为了解山西省目前塑料大棚番茄高效固碳生产现状，规范起草组组织人员于2023年多次分赴临汾、运城、晋城、阳泉、晋中和忻州等多个地区进行调研，广泛听取相关部门和农户的意见和建议，同时收集到了充分数据。</w:t>
      </w:r>
    </w:p>
    <w:p>
      <w:pPr>
        <w:spacing w:line="360" w:lineRule="auto"/>
        <w:ind w:firstLine="480" w:firstLineChars="200"/>
        <w:rPr>
          <w:rFonts w:ascii="Times New Roman" w:hAnsi="Times New Roman" w:eastAsia="仿宋_GB2312" w:cs="Times New Roman"/>
          <w:bCs/>
          <w:sz w:val="24"/>
        </w:rPr>
      </w:pPr>
      <w:r>
        <w:rPr>
          <w:rFonts w:hint="eastAsia" w:ascii="Times New Roman" w:hAnsi="Times New Roman" w:eastAsia="仿宋_GB2312" w:cs="Times New Roman"/>
          <w:bCs/>
          <w:sz w:val="24"/>
        </w:rPr>
        <w:t>3、收集资料</w:t>
      </w:r>
    </w:p>
    <w:p>
      <w:pPr>
        <w:keepNext w:val="0"/>
        <w:keepLines w:val="0"/>
        <w:pageBreakBefore w:val="0"/>
        <w:kinsoku/>
        <w:wordWrap/>
        <w:overflowPunct/>
        <w:topLinePunct w:val="0"/>
        <w:autoSpaceDE w:val="0"/>
        <w:autoSpaceDN w:val="0"/>
        <w:bidi w:val="0"/>
        <w:adjustRightInd w:val="0"/>
        <w:snapToGrid/>
        <w:spacing w:line="360" w:lineRule="auto"/>
        <w:ind w:firstLine="480" w:firstLineChars="200"/>
        <w:jc w:val="left"/>
        <w:textAlignment w:val="auto"/>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在调研过程中充分了解目前塑料大棚番茄生产中技术需求情况，收集其他有关塑料大棚番茄栽培中关于茬口安排、品种选择、定植技术、植株调整、环境调控与CO</w:t>
      </w:r>
      <w:r>
        <w:rPr>
          <w:rFonts w:hint="eastAsia" w:ascii="Times New Roman" w:hAnsi="Times New Roman" w:eastAsia="仿宋_GB2312" w:cs="Times New Roman"/>
          <w:bCs/>
          <w:sz w:val="24"/>
          <w:vertAlign w:val="subscript"/>
          <w:lang w:val="en-US" w:eastAsia="zh-CN"/>
        </w:rPr>
        <w:t>2</w:t>
      </w:r>
      <w:r>
        <w:rPr>
          <w:rFonts w:hint="eastAsia" w:ascii="Times New Roman" w:hAnsi="Times New Roman" w:eastAsia="仿宋_GB2312" w:cs="Times New Roman"/>
          <w:bCs/>
          <w:sz w:val="24"/>
          <w:lang w:val="en-US" w:eastAsia="zh-CN"/>
        </w:rPr>
        <w:t>施肥等国家、行业或地方标准。</w:t>
      </w:r>
      <w:r>
        <w:rPr>
          <w:rFonts w:ascii="Times New Roman" w:hAnsi="Times New Roman" w:eastAsia="仿宋" w:cs="Times New Roman"/>
          <w:color w:val="000000"/>
          <w:sz w:val="24"/>
          <w:szCs w:val="28"/>
        </w:rPr>
        <w:t>结合山西省的气候条件与项目组相关试验数据，</w:t>
      </w:r>
      <w:r>
        <w:rPr>
          <w:rFonts w:hint="eastAsia" w:ascii="Times New Roman" w:hAnsi="Times New Roman" w:eastAsia="仿宋_GB2312" w:cs="Times New Roman"/>
          <w:bCs/>
          <w:sz w:val="24"/>
          <w:lang w:val="en-US" w:eastAsia="zh-CN"/>
        </w:rPr>
        <w:t>于2023年8月形成规程修订方案，同时在省内主要基地进一步进行试验验证。</w:t>
      </w:r>
    </w:p>
    <w:p>
      <w:pPr>
        <w:numPr>
          <w:ilvl w:val="0"/>
          <w:numId w:val="3"/>
        </w:numPr>
        <w:spacing w:line="360" w:lineRule="auto"/>
        <w:ind w:firstLine="480" w:firstLineChars="200"/>
        <w:rPr>
          <w:rFonts w:hint="eastAsia" w:ascii="Times New Roman" w:hAnsi="Times New Roman" w:eastAsia="仿宋_GB2312" w:cs="Times New Roman"/>
          <w:bCs/>
          <w:sz w:val="24"/>
        </w:rPr>
      </w:pPr>
      <w:r>
        <w:rPr>
          <w:rFonts w:hint="eastAsia" w:ascii="Times New Roman" w:hAnsi="Times New Roman" w:eastAsia="仿宋_GB2312" w:cs="Times New Roman"/>
          <w:bCs/>
          <w:sz w:val="24"/>
        </w:rPr>
        <w:t>修订文本</w:t>
      </w:r>
    </w:p>
    <w:p>
      <w:pPr>
        <w:spacing w:line="360" w:lineRule="auto"/>
        <w:ind w:firstLine="480" w:firstLineChars="200"/>
        <w:rPr>
          <w:rFonts w:hint="eastAsia" w:ascii="Times New Roman" w:hAnsi="Times New Roman" w:eastAsia="仿宋_GB2312" w:cs="Times New Roman"/>
          <w:bCs/>
          <w:sz w:val="24"/>
        </w:rPr>
      </w:pPr>
      <w:r>
        <w:rPr>
          <w:rFonts w:hint="eastAsia" w:ascii="Times New Roman" w:hAnsi="Times New Roman" w:eastAsia="仿宋_GB2312" w:cs="Times New Roman"/>
          <w:bCs/>
          <w:sz w:val="24"/>
          <w:lang w:val="en-US" w:eastAsia="zh-CN"/>
        </w:rPr>
        <w:t>2024年1月，标准修订人员完成《塑料大棚番茄高效固碳生产技术规程》修订稿稿和编制说明。发送至山西省园艺产业发展中心、山西省蔬菜产业技术体系、山西省晋城市泽州县蔬菜事业服务中心、山西省运城市新绛县蔬菜发展中心和太谷县卓越农人农业有限公司等各单位同行和专家征求意见。形成征求意见稿，最终</w:t>
      </w:r>
      <w:r>
        <w:rPr>
          <w:rFonts w:hint="eastAsia" w:ascii="Times New Roman" w:hAnsi="Times New Roman" w:eastAsia="仿宋_GB2312" w:cs="Times New Roman"/>
          <w:sz w:val="24"/>
        </w:rPr>
        <w:t>形成征求意见稿的本文和编制说明。</w:t>
      </w:r>
    </w:p>
    <w:p>
      <w:pPr>
        <w:spacing w:line="360" w:lineRule="auto"/>
        <w:ind w:firstLine="480" w:firstLineChars="200"/>
        <w:rPr>
          <w:rFonts w:ascii="Times New Roman" w:hAnsi="Times New Roman" w:eastAsia="仿宋_GB2312" w:cs="Times New Roman"/>
          <w:bCs/>
          <w:sz w:val="24"/>
        </w:rPr>
      </w:pPr>
      <w:r>
        <w:rPr>
          <w:rFonts w:hint="eastAsia" w:ascii="Times New Roman" w:hAnsi="Times New Roman" w:eastAsia="仿宋_GB2312" w:cs="Times New Roman"/>
          <w:bCs/>
          <w:sz w:val="24"/>
        </w:rPr>
        <w:t>5、技术评审</w:t>
      </w:r>
    </w:p>
    <w:p>
      <w:p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2024年3月2</w:t>
      </w:r>
      <w:r>
        <w:rPr>
          <w:rFonts w:hint="eastAsia" w:eastAsia="仿宋_GB2312" w:cs="Times New Roman"/>
          <w:bCs/>
          <w:sz w:val="24"/>
          <w:lang w:val="en-US" w:eastAsia="zh-CN"/>
        </w:rPr>
        <w:t>2</w:t>
      </w:r>
      <w:r>
        <w:rPr>
          <w:rFonts w:hint="eastAsia" w:ascii="Times New Roman" w:hAnsi="Times New Roman" w:eastAsia="仿宋_GB2312" w:cs="Times New Roman"/>
          <w:bCs/>
          <w:sz w:val="24"/>
          <w:lang w:val="en-US" w:eastAsia="zh-CN"/>
        </w:rPr>
        <w:t>日，山西省农业标准化技术委员会组织山西省市场监督管理局、山西省园艺产业发展中心、山西农业大学等单位专家对标准文本和编制说明进行技术评审，对规程的内容、格式、条款等提出了修改意见。</w:t>
      </w:r>
    </w:p>
    <w:p>
      <w:pPr>
        <w:numPr>
          <w:ilvl w:val="0"/>
          <w:numId w:val="0"/>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6、征求意见</w:t>
      </w:r>
    </w:p>
    <w:p>
      <w:pPr>
        <w:spacing w:line="360" w:lineRule="auto"/>
        <w:ind w:firstLine="480" w:firstLineChars="200"/>
        <w:rPr>
          <w:rFonts w:hint="default" w:ascii="Times New Roman" w:hAnsi="Times New Roman" w:eastAsia="仿宋_GB2312" w:cs="Times New Roman"/>
          <w:bCs/>
          <w:sz w:val="24"/>
          <w:highlight w:val="yellow"/>
          <w:lang w:val="en-US" w:eastAsia="zh-CN"/>
        </w:rPr>
      </w:pPr>
      <w:r>
        <w:rPr>
          <w:rFonts w:hint="eastAsia" w:ascii="Times New Roman" w:hAnsi="Times New Roman" w:eastAsia="仿宋_GB2312" w:cs="Times New Roman"/>
          <w:bCs/>
          <w:sz w:val="24"/>
        </w:rPr>
        <w:t>评审后，报省市场监督管理局挂网向社会公开征求意见1个月。</w:t>
      </w:r>
    </w:p>
    <w:p>
      <w:pPr>
        <w:numPr>
          <w:ilvl w:val="0"/>
          <w:numId w:val="0"/>
        </w:numPr>
        <w:spacing w:line="360" w:lineRule="auto"/>
        <w:ind w:firstLine="480" w:firstLineChars="200"/>
        <w:rPr>
          <w:rFonts w:hint="default"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7、完善文本</w:t>
      </w:r>
    </w:p>
    <w:p>
      <w:pPr>
        <w:numPr>
          <w:ilvl w:val="0"/>
          <w:numId w:val="0"/>
        </w:numPr>
        <w:spacing w:line="360" w:lineRule="auto"/>
        <w:ind w:firstLine="480" w:firstLineChars="200"/>
        <w:rPr>
          <w:rFonts w:hint="default"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进一步修改完善后形成标准送审稿，标委会表决是否通过。</w:t>
      </w:r>
    </w:p>
    <w:p>
      <w:pPr>
        <w:numPr>
          <w:ilvl w:val="0"/>
          <w:numId w:val="4"/>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形成报批稿、提交报批材料</w:t>
      </w:r>
    </w:p>
    <w:p>
      <w:pPr>
        <w:spacing w:line="360" w:lineRule="auto"/>
        <w:ind w:firstLine="480" w:firstLineChars="200"/>
        <w:rPr>
          <w:rFonts w:hint="default"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修订人员在采纳评审专家和挂网公开征求到的意见基础上，</w:t>
      </w:r>
      <w:r>
        <w:rPr>
          <w:rFonts w:ascii="Times New Roman" w:hAnsi="Times New Roman" w:eastAsia="仿宋_GB2312" w:cs="Times New Roman"/>
          <w:bCs/>
          <w:sz w:val="24"/>
        </w:rPr>
        <w:t>起草组内部集体讨论，并充分采纳专家组意见，</w:t>
      </w:r>
      <w:r>
        <w:rPr>
          <w:rFonts w:hint="eastAsia" w:ascii="Times New Roman" w:hAnsi="Times New Roman" w:eastAsia="仿宋_GB2312" w:cs="Times New Roman"/>
          <w:bCs/>
          <w:sz w:val="24"/>
          <w:lang w:val="en-US" w:eastAsia="zh-CN"/>
        </w:rPr>
        <w:t>标准文本和编制说明进行补充修改，</w:t>
      </w:r>
      <w:r>
        <w:rPr>
          <w:rFonts w:ascii="Times New Roman" w:hAnsi="Times New Roman" w:eastAsia="仿宋_GB2312" w:cs="Times New Roman"/>
          <w:bCs/>
          <w:sz w:val="24"/>
        </w:rPr>
        <w:t>形成正式的标准</w:t>
      </w:r>
      <w:r>
        <w:rPr>
          <w:rFonts w:hint="eastAsia" w:ascii="Times New Roman" w:hAnsi="Times New Roman" w:eastAsia="仿宋_GB2312" w:cs="Times New Roman"/>
          <w:bCs/>
          <w:sz w:val="24"/>
        </w:rPr>
        <w:t>报批稿、提交报批材料</w:t>
      </w:r>
      <w:r>
        <w:rPr>
          <w:rFonts w:hint="eastAsia" w:ascii="Times New Roman" w:hAnsi="Times New Roman" w:eastAsia="仿宋_GB2312" w:cs="Times New Roman"/>
          <w:bCs/>
          <w:sz w:val="24"/>
          <w:lang w:eastAsia="zh-CN"/>
        </w:rPr>
        <w:t>，</w:t>
      </w:r>
      <w:r>
        <w:rPr>
          <w:rFonts w:hint="eastAsia" w:ascii="Times New Roman" w:hAnsi="Times New Roman" w:eastAsia="仿宋_GB2312" w:cs="Times New Roman"/>
          <w:bCs/>
          <w:sz w:val="24"/>
          <w:lang w:val="en-US" w:eastAsia="zh-CN"/>
        </w:rPr>
        <w:t>并在要求期限内提交报批材料。</w:t>
      </w:r>
    </w:p>
    <w:p>
      <w:pPr>
        <w:spacing w:line="360" w:lineRule="auto"/>
        <w:ind w:firstLine="480" w:firstLineChars="200"/>
        <w:outlineLvl w:val="0"/>
        <w:rPr>
          <w:rFonts w:ascii="Times New Roman" w:hAnsi="Times New Roman" w:eastAsia="黑体" w:cs="Times New Roman"/>
          <w:sz w:val="24"/>
        </w:rPr>
      </w:pPr>
      <w:r>
        <w:rPr>
          <w:rFonts w:hint="eastAsia" w:ascii="Times New Roman" w:hAnsi="Times New Roman" w:eastAsia="黑体" w:cs="Times New Roman"/>
          <w:sz w:val="24"/>
        </w:rPr>
        <w:t>四</w:t>
      </w:r>
      <w:r>
        <w:rPr>
          <w:rFonts w:ascii="Times New Roman" w:hAnsi="Times New Roman" w:eastAsia="黑体" w:cs="Times New Roman"/>
          <w:sz w:val="24"/>
        </w:rPr>
        <w:t>、</w:t>
      </w:r>
      <w:r>
        <w:rPr>
          <w:rFonts w:hint="eastAsia" w:ascii="Times New Roman" w:hAnsi="Times New Roman" w:eastAsia="黑体" w:cs="Times New Roman"/>
          <w:sz w:val="24"/>
          <w:lang w:eastAsia="zh-CN"/>
        </w:rPr>
        <w:t>制修</w:t>
      </w:r>
      <w:r>
        <w:rPr>
          <w:rFonts w:ascii="Times New Roman" w:hAnsi="Times New Roman" w:eastAsia="黑体" w:cs="Times New Roman"/>
          <w:sz w:val="24"/>
        </w:rPr>
        <w:t>订标准的原则和依据，与现行法律、法规、标准的关系</w:t>
      </w:r>
    </w:p>
    <w:p>
      <w:pPr>
        <w:ind w:firstLine="480" w:firstLineChars="200"/>
        <w:rPr>
          <w:rFonts w:ascii="Times New Roman" w:hAnsi="Times New Roman" w:eastAsia="仿宋_GB2312" w:cs="Times New Roman"/>
          <w:sz w:val="24"/>
        </w:rPr>
      </w:pPr>
      <w:r>
        <w:rPr>
          <w:rFonts w:ascii="Times New Roman" w:hAnsi="Times New Roman" w:eastAsia="仿宋_GB2312" w:cs="Times New Roman"/>
          <w:sz w:val="24"/>
        </w:rPr>
        <w:t>（一）编制时坚持的主要原则</w:t>
      </w:r>
    </w:p>
    <w:p>
      <w:pPr>
        <w:numPr>
          <w:ilvl w:val="0"/>
          <w:numId w:val="0"/>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本标准以塑料大棚番茄高效固碳生产技术为研究对象，规定了塑料大棚番茄生产茬口安排、品种选择与秧苗标准、整地施肥、定植、田间管理、采收及生产档案建立的技术规范。</w:t>
      </w:r>
    </w:p>
    <w:p>
      <w:pPr>
        <w:numPr>
          <w:ilvl w:val="0"/>
          <w:numId w:val="0"/>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在规范具体指标编制过程中，坚持从山西省塑料大棚番茄生产实际出发，以满足设施番茄生产要求为切入点，坚持科学性、实用性和可操作性的原则，力求轻简化，并符合当前设施蔬菜绿色生产的要求。</w:t>
      </w:r>
    </w:p>
    <w:p>
      <w:pPr>
        <w:numPr>
          <w:ilvl w:val="0"/>
          <w:numId w:val="0"/>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1）科学性：本规范相关内容是项目组成员多年来各类科研项目以及调查研究的部分内容，是通过深入研究、多点调查、多次试验形成的相关内容，并经过多年的试验验证和反复修正，最终形成的本规范，技术参数可靠。</w:t>
      </w:r>
    </w:p>
    <w:p>
      <w:pPr>
        <w:numPr>
          <w:ilvl w:val="0"/>
          <w:numId w:val="0"/>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（2）实用性：本规范综合了山西省境内不同地区、不同规格塑料大棚、不同番茄品种的高效栽培技术措施，具有较强的实用性。</w:t>
      </w:r>
    </w:p>
    <w:p>
      <w:pPr>
        <w:numPr>
          <w:ilvl w:val="0"/>
          <w:numId w:val="0"/>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（3）可操作性：本规范在制定过程中，结合生产实践，进行了系统性和规范性的总结，并注重细节和可操作性，力求达到广大使用者看得见、用得上，操作方便。</w:t>
      </w:r>
    </w:p>
    <w:p>
      <w:pPr>
        <w:autoSpaceDE w:val="0"/>
        <w:autoSpaceDN w:val="0"/>
        <w:adjustRightInd w:val="0"/>
        <w:spacing w:line="360" w:lineRule="auto"/>
        <w:ind w:firstLine="480" w:firstLineChars="200"/>
        <w:jc w:val="left"/>
        <w:rPr>
          <w:rFonts w:ascii="Times New Roman" w:hAnsi="Times New Roman" w:eastAsia="仿宋_GB2312" w:cs="Times New Roman"/>
          <w:sz w:val="24"/>
        </w:rPr>
      </w:pPr>
      <w:r>
        <w:rPr>
          <w:rFonts w:hint="eastAsia" w:ascii="Times New Roman" w:hAnsi="Times New Roman" w:eastAsia="仿宋_GB2312" w:cs="Times New Roman"/>
          <w:bCs/>
          <w:sz w:val="24"/>
          <w:lang w:val="en-US" w:eastAsia="zh-CN"/>
        </w:rPr>
        <w:t>（4）</w:t>
      </w:r>
      <w:r>
        <w:rPr>
          <w:rFonts w:hint="eastAsia" w:ascii="Times New Roman" w:hAnsi="Times New Roman" w:eastAsia="仿宋_GB2312" w:cs="Times New Roman"/>
          <w:sz w:val="24"/>
        </w:rPr>
        <w:t>先进</w:t>
      </w:r>
      <w:r>
        <w:rPr>
          <w:rFonts w:ascii="Times New Roman" w:hAnsi="Times New Roman" w:eastAsia="仿宋_GB2312" w:cs="Times New Roman"/>
          <w:sz w:val="24"/>
        </w:rPr>
        <w:t>性：本规程在制定过程中，结合生产实践</w:t>
      </w:r>
      <w:r>
        <w:rPr>
          <w:rFonts w:hint="eastAsia" w:ascii="Times New Roman" w:hAnsi="Times New Roman" w:eastAsia="仿宋_GB2312" w:cs="Times New Roman"/>
          <w:sz w:val="24"/>
        </w:rPr>
        <w:t>并兼顾未来发展趋势</w:t>
      </w:r>
      <w:r>
        <w:rPr>
          <w:rFonts w:ascii="Times New Roman" w:hAnsi="Times New Roman" w:eastAsia="仿宋_GB2312" w:cs="Times New Roman"/>
          <w:sz w:val="24"/>
        </w:rPr>
        <w:t>，进行了系统和规范总结，</w:t>
      </w:r>
      <w:r>
        <w:rPr>
          <w:rFonts w:hint="eastAsia" w:ascii="Times New Roman" w:hAnsi="Times New Roman" w:eastAsia="仿宋_GB2312" w:cs="Times New Roman"/>
          <w:sz w:val="24"/>
        </w:rPr>
        <w:t>代表现代化水平</w:t>
      </w:r>
      <w:r>
        <w:rPr>
          <w:rFonts w:ascii="Times New Roman" w:hAnsi="Times New Roman" w:eastAsia="仿宋_GB2312" w:cs="Times New Roman"/>
          <w:sz w:val="24"/>
        </w:rPr>
        <w:t>。</w:t>
      </w:r>
    </w:p>
    <w:p>
      <w:pPr>
        <w:autoSpaceDE w:val="0"/>
        <w:autoSpaceDN w:val="0"/>
        <w:adjustRightInd w:val="0"/>
        <w:spacing w:line="360" w:lineRule="auto"/>
        <w:ind w:firstLine="480" w:firstLineChars="200"/>
        <w:jc w:val="left"/>
        <w:rPr>
          <w:rFonts w:hint="eastAsia" w:ascii="Times New Roman" w:hAnsi="Times New Roman" w:eastAsia="仿宋_GB2312" w:cs="Times New Roman"/>
          <w:sz w:val="24"/>
        </w:rPr>
      </w:pPr>
      <w:r>
        <w:rPr>
          <w:rFonts w:hint="eastAsia" w:ascii="Times New Roman" w:hAnsi="Times New Roman" w:eastAsia="仿宋_GB2312" w:cs="Times New Roman"/>
          <w:bCs/>
          <w:sz w:val="24"/>
          <w:lang w:val="en-US" w:eastAsia="zh-CN"/>
        </w:rPr>
        <w:t>（5）</w:t>
      </w:r>
      <w:r>
        <w:rPr>
          <w:rFonts w:hint="eastAsia" w:ascii="Times New Roman" w:hAnsi="Times New Roman" w:eastAsia="仿宋_GB2312" w:cs="Times New Roman"/>
          <w:sz w:val="24"/>
        </w:rPr>
        <w:t>合法性、安全性、协调性 规程制定过程中，严格按照标准法，并注重农艺措施的安全性，协调生产环节。</w:t>
      </w:r>
    </w:p>
    <w:p>
      <w:pPr>
        <w:autoSpaceDE w:val="0"/>
        <w:autoSpaceDN w:val="0"/>
        <w:adjustRightInd w:val="0"/>
        <w:spacing w:line="360" w:lineRule="auto"/>
        <w:ind w:firstLine="480" w:firstLineChars="200"/>
        <w:jc w:val="left"/>
        <w:rPr>
          <w:rFonts w:hint="eastAsia" w:ascii="Times New Roman" w:hAnsi="Times New Roman" w:eastAsia="仿宋_GB2312" w:cs="Times New Roman"/>
          <w:sz w:val="24"/>
          <w:lang w:val="en-US" w:eastAsia="zh-CN"/>
        </w:rPr>
      </w:pPr>
      <w:r>
        <w:rPr>
          <w:rFonts w:ascii="Times New Roman" w:hAnsi="Times New Roman" w:eastAsia="仿宋_GB2312" w:cs="Times New Roman"/>
          <w:sz w:val="24"/>
        </w:rPr>
        <w:t>（</w:t>
      </w:r>
      <w:r>
        <w:rPr>
          <w:rFonts w:hint="eastAsia" w:ascii="Times New Roman" w:hAnsi="Times New Roman" w:eastAsia="仿宋_GB2312" w:cs="Times New Roman"/>
          <w:sz w:val="24"/>
        </w:rPr>
        <w:t>二</w:t>
      </w:r>
      <w:r>
        <w:rPr>
          <w:rFonts w:ascii="Times New Roman" w:hAnsi="Times New Roman" w:eastAsia="仿宋_GB2312" w:cs="Times New Roman"/>
          <w:sz w:val="24"/>
        </w:rPr>
        <w:t>）编制时坚持的主要</w:t>
      </w:r>
      <w:r>
        <w:rPr>
          <w:rFonts w:hint="eastAsia" w:ascii="Times New Roman" w:hAnsi="Times New Roman" w:eastAsia="仿宋_GB2312" w:cs="Times New Roman"/>
          <w:sz w:val="24"/>
        </w:rPr>
        <w:t>依据</w:t>
      </w:r>
    </w:p>
    <w:p>
      <w:pPr>
        <w:numPr>
          <w:ilvl w:val="0"/>
          <w:numId w:val="0"/>
        </w:numPr>
        <w:spacing w:line="360" w:lineRule="auto"/>
        <w:ind w:firstLine="480" w:firstLineChars="200"/>
        <w:rPr>
          <w:rFonts w:ascii="Times New Roman" w:hAnsi="Times New Roman" w:eastAsia="仿宋" w:cs="Times New Roman"/>
          <w:sz w:val="24"/>
          <w:szCs w:val="28"/>
        </w:rPr>
      </w:pPr>
      <w:r>
        <w:rPr>
          <w:rFonts w:hint="eastAsia" w:ascii="Times New Roman" w:hAnsi="Times New Roman" w:eastAsia="仿宋_GB2312" w:cs="Times New Roman"/>
          <w:bCs/>
          <w:sz w:val="24"/>
          <w:lang w:val="en-US" w:eastAsia="zh-CN"/>
        </w:rPr>
        <w:t>本标准分</w:t>
      </w:r>
      <w:r>
        <w:rPr>
          <w:rFonts w:hint="eastAsia" w:eastAsia="仿宋_GB2312" w:cs="Times New Roman"/>
          <w:bCs/>
          <w:sz w:val="24"/>
          <w:lang w:val="en-US" w:eastAsia="zh-CN"/>
        </w:rPr>
        <w:t>13</w:t>
      </w:r>
      <w:r>
        <w:rPr>
          <w:rFonts w:hint="eastAsia" w:ascii="Times New Roman" w:hAnsi="Times New Roman" w:eastAsia="仿宋_GB2312" w:cs="Times New Roman"/>
          <w:bCs/>
          <w:sz w:val="24"/>
          <w:lang w:val="en-US" w:eastAsia="zh-CN"/>
        </w:rPr>
        <w:t>章编写，分别为范围、规范性引用文件、术语和定义、温室结构与性能、茬口安排、种苗、整地施肥、定植、田间管理、二氧化碳施肥、病虫害防治、采收和生产档案建立的技术规范。</w:t>
      </w:r>
      <w:r>
        <w:rPr>
          <w:rFonts w:ascii="Times New Roman" w:hAnsi="Times New Roman" w:eastAsia="仿宋_GB2312" w:cs="Times New Roman"/>
          <w:sz w:val="24"/>
        </w:rPr>
        <w:t>本标准严格遵循国家标准、行业标准在</w:t>
      </w:r>
      <w:r>
        <w:rPr>
          <w:rFonts w:hint="eastAsia" w:ascii="Times New Roman" w:hAnsi="Times New Roman" w:eastAsia="仿宋_GB2312" w:cs="Times New Roman"/>
          <w:sz w:val="24"/>
          <w:lang w:val="en-US" w:eastAsia="zh-CN"/>
        </w:rPr>
        <w:t>番茄</w:t>
      </w:r>
      <w:r>
        <w:rPr>
          <w:rFonts w:ascii="Times New Roman" w:hAnsi="Times New Roman" w:eastAsia="仿宋_GB2312" w:cs="Times New Roman"/>
          <w:sz w:val="24"/>
        </w:rPr>
        <w:t>生产方面的相关规定。</w:t>
      </w:r>
      <w:r>
        <w:rPr>
          <w:rFonts w:ascii="Times New Roman" w:hAnsi="Times New Roman" w:eastAsia="仿宋" w:cs="Times New Roman"/>
          <w:sz w:val="24"/>
          <w:szCs w:val="28"/>
        </w:rPr>
        <w:t>本规范制定过程中参考的标准见表</w:t>
      </w:r>
      <w:r>
        <w:rPr>
          <w:rFonts w:hint="eastAsia" w:ascii="Times New Roman" w:hAnsi="Times New Roman" w:eastAsia="仿宋" w:cs="Times New Roman"/>
          <w:sz w:val="24"/>
          <w:szCs w:val="28"/>
          <w:lang w:val="en-US" w:eastAsia="zh-CN"/>
        </w:rPr>
        <w:t>1</w:t>
      </w:r>
      <w:r>
        <w:rPr>
          <w:rFonts w:ascii="Times New Roman" w:hAnsi="Times New Roman" w:eastAsia="仿宋" w:cs="Times New Roman"/>
          <w:sz w:val="24"/>
          <w:szCs w:val="28"/>
        </w:rPr>
        <w:t>。</w:t>
      </w:r>
    </w:p>
    <w:p>
      <w:pPr>
        <w:keepNext w:val="0"/>
        <w:keepLines w:val="0"/>
        <w:pageBreakBefore w:val="0"/>
        <w:widowControl w:val="0"/>
        <w:tabs>
          <w:tab w:val="left" w:pos="552"/>
          <w:tab w:val="center" w:pos="4453"/>
        </w:tabs>
        <w:kinsoku/>
        <w:wordWrap/>
        <w:overflowPunct/>
        <w:topLinePunct w:val="0"/>
        <w:autoSpaceDE w:val="0"/>
        <w:autoSpaceDN w:val="0"/>
        <w:bidi w:val="0"/>
        <w:adjustRightInd w:val="0"/>
        <w:snapToGrid/>
        <w:spacing w:after="157" w:afterLines="50" w:line="380" w:lineRule="exact"/>
        <w:ind w:firstLine="480" w:firstLineChars="200"/>
        <w:jc w:val="left"/>
        <w:textAlignment w:val="auto"/>
        <w:rPr>
          <w:rFonts w:ascii="Times New Roman" w:hAnsi="Times New Roman" w:eastAsia="仿宋" w:cs="Times New Roman"/>
          <w:color w:val="FF0000"/>
          <w:sz w:val="21"/>
          <w:szCs w:val="21"/>
        </w:rPr>
      </w:pPr>
      <w:r>
        <w:rPr>
          <w:rFonts w:hint="eastAsia" w:ascii="Times New Roman" w:hAnsi="Times New Roman" w:eastAsia="仿宋" w:cs="Times New Roman"/>
          <w:sz w:val="24"/>
          <w:lang w:eastAsia="zh-CN"/>
        </w:rPr>
        <w:tab/>
      </w:r>
      <w:r>
        <w:rPr>
          <w:rFonts w:hint="eastAsia" w:ascii="Times New Roman" w:hAnsi="Times New Roman" w:eastAsia="仿宋" w:cs="Times New Roman"/>
          <w:sz w:val="24"/>
          <w:lang w:eastAsia="zh-CN"/>
        </w:rPr>
        <w:tab/>
      </w:r>
      <w:r>
        <w:rPr>
          <w:rFonts w:ascii="Times New Roman" w:hAnsi="Times New Roman" w:eastAsia="仿宋" w:cs="Times New Roman"/>
          <w:b/>
          <w:bCs/>
          <w:color w:val="auto"/>
          <w:sz w:val="24"/>
          <w:szCs w:val="24"/>
        </w:rPr>
        <w:t>表</w:t>
      </w:r>
      <w:r>
        <w:rPr>
          <w:rFonts w:hint="eastAsia" w:ascii="Times New Roman" w:hAnsi="Times New Roman" w:eastAsia="仿宋" w:cs="Times New Roman"/>
          <w:b/>
          <w:bCs/>
          <w:color w:val="auto"/>
          <w:sz w:val="24"/>
          <w:szCs w:val="24"/>
          <w:lang w:val="en-US" w:eastAsia="zh-CN"/>
        </w:rPr>
        <w:t>1</w:t>
      </w:r>
      <w:r>
        <w:rPr>
          <w:rFonts w:ascii="Times New Roman" w:hAnsi="Times New Roman" w:eastAsia="仿宋" w:cs="Times New Roman"/>
          <w:b/>
          <w:bCs/>
          <w:color w:val="auto"/>
          <w:sz w:val="24"/>
          <w:szCs w:val="24"/>
        </w:rPr>
        <w:t xml:space="preserve">  相关参考标准</w:t>
      </w:r>
    </w:p>
    <w:tbl>
      <w:tblPr>
        <w:tblStyle w:val="11"/>
        <w:tblW w:w="5000"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18"/>
        <w:gridCol w:w="2175"/>
        <w:gridCol w:w="5123"/>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tcBorders>
              <w:top w:val="single" w:color="auto" w:sz="12" w:space="0"/>
              <w:bottom w:val="single" w:color="auto" w:sz="4" w:space="0"/>
            </w:tcBorders>
            <w:noWrap w:val="0"/>
            <w:vAlign w:val="center"/>
          </w:tcPr>
          <w:p>
            <w:pPr>
              <w:keepNext w:val="0"/>
              <w:keepLines w:val="0"/>
              <w:pageBreakBefore w:val="0"/>
              <w:kinsoku/>
              <w:wordWrap/>
              <w:overflowPunct/>
              <w:topLinePunct w:val="0"/>
              <w:bidi w:val="0"/>
              <w:snapToGrid/>
              <w:spacing w:after="240" w:line="380" w:lineRule="exact"/>
              <w:jc w:val="center"/>
              <w:textAlignment w:val="auto"/>
              <w:rPr>
                <w:rFonts w:ascii="Times New Roman" w:hAnsi="Times New Roman" w:eastAsia="仿宋" w:cs="Times New Roman"/>
                <w:b/>
                <w:kern w:val="0"/>
                <w:sz w:val="21"/>
                <w:szCs w:val="21"/>
              </w:rPr>
            </w:pPr>
            <w:r>
              <w:rPr>
                <w:rFonts w:ascii="Times New Roman" w:hAnsi="Times New Roman" w:eastAsia="仿宋" w:cs="Times New Roman"/>
                <w:b/>
                <w:kern w:val="0"/>
                <w:sz w:val="21"/>
                <w:szCs w:val="21"/>
              </w:rPr>
              <w:t>编号</w:t>
            </w:r>
          </w:p>
        </w:tc>
        <w:tc>
          <w:tcPr>
            <w:tcW w:w="1277" w:type="pct"/>
            <w:tcBorders>
              <w:top w:val="single" w:color="auto" w:sz="12" w:space="0"/>
              <w:bottom w:val="single" w:color="auto" w:sz="4" w:space="0"/>
            </w:tcBorders>
            <w:noWrap w:val="0"/>
            <w:vAlign w:val="center"/>
          </w:tcPr>
          <w:p>
            <w:pPr>
              <w:keepNext w:val="0"/>
              <w:keepLines w:val="0"/>
              <w:pageBreakBefore w:val="0"/>
              <w:kinsoku/>
              <w:wordWrap/>
              <w:overflowPunct/>
              <w:topLinePunct w:val="0"/>
              <w:bidi w:val="0"/>
              <w:snapToGrid/>
              <w:spacing w:line="380" w:lineRule="exact"/>
              <w:jc w:val="center"/>
              <w:textAlignment w:val="auto"/>
              <w:rPr>
                <w:rFonts w:ascii="Times New Roman" w:hAnsi="Times New Roman" w:eastAsia="仿宋" w:cs="Times New Roman"/>
                <w:b/>
                <w:kern w:val="0"/>
                <w:sz w:val="21"/>
                <w:szCs w:val="21"/>
              </w:rPr>
            </w:pPr>
            <w:r>
              <w:rPr>
                <w:rFonts w:ascii="Times New Roman" w:hAnsi="Times New Roman" w:eastAsia="仿宋" w:cs="Times New Roman"/>
                <w:b/>
                <w:kern w:val="0"/>
                <w:sz w:val="21"/>
                <w:szCs w:val="21"/>
              </w:rPr>
              <w:t>标准号</w:t>
            </w:r>
          </w:p>
        </w:tc>
        <w:tc>
          <w:tcPr>
            <w:tcW w:w="3007" w:type="pct"/>
            <w:tcBorders>
              <w:top w:val="single" w:color="auto" w:sz="12" w:space="0"/>
              <w:bottom w:val="single" w:color="auto" w:sz="4" w:space="0"/>
            </w:tcBorders>
            <w:noWrap w:val="0"/>
            <w:vAlign w:val="center"/>
          </w:tcPr>
          <w:p>
            <w:pPr>
              <w:keepNext w:val="0"/>
              <w:keepLines w:val="0"/>
              <w:pageBreakBefore w:val="0"/>
              <w:kinsoku/>
              <w:wordWrap/>
              <w:overflowPunct/>
              <w:topLinePunct w:val="0"/>
              <w:bidi w:val="0"/>
              <w:snapToGrid/>
              <w:spacing w:line="380" w:lineRule="exact"/>
              <w:jc w:val="center"/>
              <w:textAlignment w:val="auto"/>
              <w:rPr>
                <w:rFonts w:ascii="Times New Roman" w:hAnsi="Times New Roman" w:eastAsia="仿宋" w:cs="Times New Roman"/>
                <w:b/>
                <w:kern w:val="0"/>
                <w:sz w:val="21"/>
                <w:szCs w:val="21"/>
              </w:rPr>
            </w:pPr>
            <w:r>
              <w:rPr>
                <w:rFonts w:ascii="Times New Roman" w:hAnsi="Times New Roman" w:eastAsia="仿宋" w:cs="Times New Roman"/>
                <w:b/>
                <w:kern w:val="0"/>
                <w:sz w:val="21"/>
                <w:szCs w:val="21"/>
              </w:rPr>
              <w:t>标准名称</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ascii="Times New Roman" w:hAnsi="Times New Roman" w:eastAsia="仿宋" w:cs="Times New Roman"/>
                <w:sz w:val="21"/>
                <w:szCs w:val="21"/>
              </w:rPr>
              <w:t>1.</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ascii="Times New Roman" w:hAnsi="Times New Roman" w:eastAsia="仿宋" w:cs="Times New Roman"/>
                <w:sz w:val="21"/>
                <w:szCs w:val="21"/>
              </w:rPr>
              <w:t>GB 16715.3</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瓜菜作物种子 第3部分：茄果类</w:t>
            </w:r>
          </w:p>
          <w:p>
            <w:pPr>
              <w:keepNext w:val="0"/>
              <w:keepLines w:val="0"/>
              <w:pageBreakBefore w:val="0"/>
              <w:kinsoku/>
              <w:wordWrap/>
              <w:overflowPunct/>
              <w:topLinePunct w:val="0"/>
              <w:bidi w:val="0"/>
              <w:snapToGrid/>
              <w:spacing w:line="380" w:lineRule="exact"/>
              <w:ind w:firstLine="420" w:firstLineChars="200"/>
              <w:jc w:val="center"/>
              <w:textAlignment w:val="auto"/>
              <w:rPr>
                <w:rFonts w:hint="eastAsia" w:ascii="Times New Roman" w:hAnsi="Times New Roman" w:eastAsia="仿宋" w:cs="Times New Roman"/>
                <w:sz w:val="21"/>
                <w:szCs w:val="21"/>
              </w:rPr>
            </w:pPr>
          </w:p>
          <w:p>
            <w:pPr>
              <w:keepNext w:val="0"/>
              <w:keepLines w:val="0"/>
              <w:pageBreakBefore w:val="0"/>
              <w:kinsoku/>
              <w:wordWrap/>
              <w:overflowPunct/>
              <w:topLinePunct w:val="0"/>
              <w:bidi w:val="0"/>
              <w:snapToGrid/>
              <w:spacing w:line="380" w:lineRule="exact"/>
              <w:ind w:firstLine="420" w:firstLineChars="200"/>
              <w:jc w:val="center"/>
              <w:textAlignment w:val="auto"/>
              <w:rPr>
                <w:rFonts w:ascii="Times New Roman" w:hAnsi="Times New Roman" w:eastAsia="仿宋" w:cs="Times New Roman"/>
                <w:sz w:val="21"/>
                <w:szCs w:val="21"/>
              </w:rPr>
            </w:pP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default" w:ascii="Times New Roman" w:hAnsi="Times New Roman" w:eastAsia="仿宋" w:cs="Times New Roman"/>
                <w:sz w:val="21"/>
                <w:szCs w:val="21"/>
                <w:lang w:val="en-US" w:eastAsia="zh-CN"/>
              </w:rPr>
            </w:pPr>
            <w:r>
              <w:rPr>
                <w:rFonts w:hint="eastAsia" w:eastAsia="仿宋" w:cs="Times New Roman"/>
                <w:sz w:val="21"/>
                <w:szCs w:val="21"/>
                <w:lang w:val="en-US" w:eastAsia="zh-CN"/>
              </w:rPr>
              <w:t>2.</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eastAsia" w:ascii="Times New Roman" w:hAnsi="Times New Roman" w:eastAsia="仿宋" w:cs="Times New Roman"/>
                <w:sz w:val="21"/>
                <w:szCs w:val="21"/>
              </w:rPr>
            </w:pPr>
            <w:r>
              <w:rPr>
                <w:rFonts w:hint="eastAsia"/>
                <w:kern w:val="0"/>
              </w:rPr>
              <w:t>GB/T 17187</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农业灌溉设备 滴头和滴灌管 技术规范和试验方法</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default" w:ascii="Times New Roman" w:hAnsi="Times New Roman" w:eastAsia="仿宋" w:cs="Times New Roman"/>
                <w:sz w:val="21"/>
                <w:szCs w:val="21"/>
                <w:lang w:val="en-US" w:eastAsia="zh-CN"/>
              </w:rPr>
            </w:pPr>
            <w:r>
              <w:rPr>
                <w:rFonts w:hint="eastAsia" w:eastAsia="仿宋" w:cs="Times New Roman"/>
                <w:sz w:val="21"/>
                <w:szCs w:val="21"/>
                <w:lang w:val="en-US" w:eastAsia="zh-CN"/>
              </w:rPr>
              <w:t>3.</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kern w:val="0"/>
              </w:rPr>
              <w:t>GB/T 23416.2</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蔬菜病虫害安全防治技术规范 第2部分：茄果类</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default" w:ascii="Times New Roman" w:hAnsi="Times New Roman" w:eastAsia="仿宋" w:cs="Times New Roman"/>
                <w:sz w:val="21"/>
                <w:szCs w:val="21"/>
                <w:lang w:val="en-US" w:eastAsia="zh-CN"/>
              </w:rPr>
            </w:pPr>
            <w:r>
              <w:rPr>
                <w:rFonts w:hint="eastAsia" w:eastAsia="仿宋" w:cs="Times New Roman"/>
                <w:sz w:val="21"/>
                <w:szCs w:val="21"/>
                <w:lang w:val="en-US" w:eastAsia="zh-CN"/>
              </w:rPr>
              <w:t>4.</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kern w:val="0"/>
              </w:rPr>
              <w:t>JB/T 10594</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日光温室和塑料大棚结构与性能</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default" w:ascii="Times New Roman" w:hAnsi="Times New Roman" w:eastAsia="仿宋" w:cs="Times New Roman"/>
                <w:kern w:val="2"/>
                <w:sz w:val="21"/>
                <w:szCs w:val="21"/>
                <w:lang w:val="en-US" w:eastAsia="zh-CN" w:bidi="ar-SA"/>
              </w:rPr>
            </w:pPr>
            <w:r>
              <w:rPr>
                <w:rFonts w:hint="eastAsia" w:eastAsia="仿宋" w:cs="Times New Roman"/>
                <w:kern w:val="2"/>
                <w:sz w:val="21"/>
                <w:szCs w:val="21"/>
                <w:lang w:val="en-US" w:eastAsia="zh-CN" w:bidi="ar-SA"/>
              </w:rPr>
              <w:t>5.</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eastAsia" w:ascii="Times New Roman" w:hAnsi="Times New Roman" w:eastAsia="仿宋" w:cs="Times New Roman"/>
                <w:kern w:val="2"/>
                <w:sz w:val="21"/>
                <w:szCs w:val="21"/>
                <w:lang w:val="en-US" w:eastAsia="zh-CN" w:bidi="ar-SA"/>
              </w:rPr>
            </w:pPr>
            <w:r>
              <w:rPr>
                <w:rFonts w:hint="eastAsia"/>
                <w:kern w:val="0"/>
              </w:rPr>
              <w:t>NY/T 496</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lang w:val="en-US" w:eastAsia="zh-CN"/>
              </w:rPr>
            </w:pPr>
            <w:r>
              <w:rPr>
                <w:rFonts w:hint="eastAsia" w:ascii="Times New Roman" w:hAnsi="Times New Roman" w:eastAsia="仿宋" w:cs="Times New Roman"/>
                <w:sz w:val="21"/>
                <w:szCs w:val="21"/>
              </w:rPr>
              <w:t>肥料合理使用准则 通则</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default" w:ascii="Times New Roman" w:hAnsi="Times New Roman" w:eastAsia="仿宋" w:cs="Times New Roman"/>
                <w:sz w:val="21"/>
                <w:szCs w:val="21"/>
                <w:lang w:val="en-US" w:eastAsia="zh-CN"/>
              </w:rPr>
            </w:pPr>
            <w:r>
              <w:rPr>
                <w:rFonts w:hint="eastAsia" w:eastAsia="仿宋" w:cs="Times New Roman"/>
                <w:sz w:val="21"/>
                <w:szCs w:val="21"/>
                <w:lang w:val="en-US" w:eastAsia="zh-CN"/>
              </w:rPr>
              <w:t>6.</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kern w:val="0"/>
              </w:rPr>
              <w:t>NY/T 2312</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茄果类蔬菜穴盘育苗技术规程</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default" w:ascii="Times New Roman" w:hAnsi="Times New Roman" w:eastAsia="仿宋" w:cs="Times New Roman"/>
                <w:sz w:val="21"/>
                <w:szCs w:val="21"/>
                <w:lang w:val="en-US" w:eastAsia="zh-CN"/>
              </w:rPr>
            </w:pPr>
            <w:r>
              <w:rPr>
                <w:rFonts w:hint="eastAsia" w:eastAsia="仿宋" w:cs="Times New Roman"/>
                <w:sz w:val="21"/>
                <w:szCs w:val="21"/>
                <w:lang w:val="en-US" w:eastAsia="zh-CN"/>
              </w:rPr>
              <w:t>7.</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kern w:val="0"/>
              </w:rPr>
              <w:t>NY/T 3045</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设施番茄熊蜂授粉技术规程</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default" w:ascii="Times New Roman" w:hAnsi="Times New Roman" w:eastAsia="仿宋" w:cs="Times New Roman"/>
                <w:sz w:val="21"/>
                <w:szCs w:val="21"/>
                <w:lang w:val="en-US" w:eastAsia="zh-CN"/>
              </w:rPr>
            </w:pPr>
            <w:r>
              <w:rPr>
                <w:rFonts w:hint="eastAsia" w:eastAsia="仿宋" w:cs="Times New Roman"/>
                <w:sz w:val="21"/>
                <w:szCs w:val="21"/>
                <w:lang w:val="en-US" w:eastAsia="zh-CN"/>
              </w:rPr>
              <w:t>8.</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kern w:val="0"/>
              </w:rPr>
              <w:t>DB14/T 1281</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设施蔬菜固碳生产技术规程 果菜类育苗</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exact"/>
          <w:jc w:val="center"/>
        </w:trPr>
        <w:tc>
          <w:tcPr>
            <w:tcW w:w="715"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hint="default" w:ascii="Times New Roman" w:hAnsi="Times New Roman" w:eastAsia="仿宋" w:cs="Times New Roman"/>
                <w:sz w:val="21"/>
                <w:szCs w:val="21"/>
                <w:lang w:val="en-US" w:eastAsia="zh-CN"/>
              </w:rPr>
            </w:pPr>
            <w:r>
              <w:rPr>
                <w:rFonts w:hint="eastAsia" w:eastAsia="仿宋" w:cs="Times New Roman"/>
                <w:sz w:val="21"/>
                <w:szCs w:val="21"/>
                <w:lang w:val="en-US" w:eastAsia="zh-CN"/>
              </w:rPr>
              <w:t>9.</w:t>
            </w:r>
          </w:p>
        </w:tc>
        <w:tc>
          <w:tcPr>
            <w:tcW w:w="1277" w:type="pct"/>
            <w:noWrap w:val="0"/>
            <w:vAlign w:val="center"/>
          </w:tcPr>
          <w:p>
            <w:pPr>
              <w:keepNext w:val="0"/>
              <w:keepLines w:val="0"/>
              <w:pageBreakBefore w:val="0"/>
              <w:kinsoku/>
              <w:wordWrap/>
              <w:overflowPunct/>
              <w:topLinePunct w:val="0"/>
              <w:bidi w:val="0"/>
              <w:snapToGrid/>
              <w:spacing w:line="380" w:lineRule="exact"/>
              <w:ind w:firstLine="420" w:firstLineChars="200"/>
              <w:jc w:val="both"/>
              <w:textAlignment w:val="auto"/>
              <w:rPr>
                <w:rFonts w:ascii="Times New Roman" w:hAnsi="Times New Roman" w:eastAsia="仿宋" w:cs="Times New Roman"/>
                <w:sz w:val="21"/>
                <w:szCs w:val="21"/>
              </w:rPr>
            </w:pPr>
            <w:r>
              <w:rPr>
                <w:rFonts w:hint="eastAsia"/>
                <w:kern w:val="0"/>
              </w:rPr>
              <w:t>DB14/T 1288</w:t>
            </w:r>
          </w:p>
        </w:tc>
        <w:tc>
          <w:tcPr>
            <w:tcW w:w="3007" w:type="pct"/>
            <w:noWrap w:val="0"/>
            <w:vAlign w:val="center"/>
          </w:tcPr>
          <w:p>
            <w:pPr>
              <w:keepNext w:val="0"/>
              <w:keepLines w:val="0"/>
              <w:pageBreakBefore w:val="0"/>
              <w:kinsoku/>
              <w:wordWrap/>
              <w:overflowPunct/>
              <w:topLinePunct w:val="0"/>
              <w:bidi w:val="0"/>
              <w:snapToGrid/>
              <w:spacing w:line="380" w:lineRule="exact"/>
              <w:jc w:val="center"/>
              <w:textAlignment w:val="auto"/>
              <w:rPr>
                <w:rFonts w:hint="eastAsia" w:ascii="Times New Roman" w:hAnsi="Times New Roman" w:eastAsia="仿宋" w:cs="Times New Roman"/>
                <w:sz w:val="21"/>
                <w:szCs w:val="21"/>
              </w:rPr>
            </w:pPr>
            <w:r>
              <w:rPr>
                <w:rFonts w:hint="eastAsia" w:ascii="Times New Roman" w:hAnsi="Times New Roman" w:eastAsia="仿宋" w:cs="Times New Roman"/>
                <w:sz w:val="21"/>
                <w:szCs w:val="21"/>
              </w:rPr>
              <w:t>设施蔬菜固碳生产技术规程 二氧化碳施肥</w:t>
            </w:r>
          </w:p>
        </w:tc>
      </w:tr>
    </w:tbl>
    <w:p>
      <w:pPr>
        <w:pStyle w:val="5"/>
        <w:spacing w:after="0" w:line="360" w:lineRule="auto"/>
        <w:ind w:firstLine="480" w:firstLineChars="200"/>
        <w:rPr>
          <w:rFonts w:ascii="Times New Roman" w:hAnsi="Times New Roman" w:eastAsia="楷体" w:cs="Times New Roman"/>
          <w:b w:val="0"/>
          <w:bCs/>
          <w:sz w:val="24"/>
        </w:rPr>
      </w:pPr>
      <w:r>
        <w:rPr>
          <w:rFonts w:hint="eastAsia" w:ascii="Times New Roman" w:hAnsi="Times New Roman" w:eastAsia="楷体" w:cs="Times New Roman"/>
          <w:b w:val="0"/>
          <w:bCs/>
          <w:sz w:val="24"/>
        </w:rPr>
        <w:t>（三）</w:t>
      </w:r>
      <w:r>
        <w:rPr>
          <w:rFonts w:ascii="Times New Roman" w:hAnsi="Times New Roman" w:eastAsia="楷体" w:cs="Times New Roman"/>
          <w:b w:val="0"/>
          <w:bCs/>
          <w:sz w:val="24"/>
        </w:rPr>
        <w:t>与有关现行法律、法规的关系</w:t>
      </w:r>
    </w:p>
    <w:p>
      <w:pPr>
        <w:numPr>
          <w:ilvl w:val="0"/>
          <w:numId w:val="0"/>
        </w:numPr>
        <w:spacing w:line="360" w:lineRule="auto"/>
        <w:ind w:firstLine="480" w:firstLineChars="200"/>
        <w:rPr>
          <w:rFonts w:hint="eastAsia" w:ascii="Times New Roman" w:hAnsi="Times New Roman" w:eastAsia="仿宋_GB2312" w:cs="Times New Roman"/>
          <w:bCs/>
          <w:sz w:val="24"/>
          <w:lang w:val="en-US" w:eastAsia="zh-CN"/>
        </w:rPr>
      </w:pPr>
      <w:r>
        <w:rPr>
          <w:rFonts w:hint="eastAsia" w:ascii="Times New Roman" w:hAnsi="Times New Roman" w:eastAsia="仿宋_GB2312" w:cs="Times New Roman"/>
          <w:bCs/>
          <w:sz w:val="24"/>
          <w:lang w:val="en-US" w:eastAsia="zh-CN"/>
        </w:rPr>
        <w:t>本标准从塑料大棚番茄生产实际要求出发，参考相关的国家或行业标准和规范，结合山西省当地实际情况进行制定，与现行法律、法规和强制性标准无相互矛盾和抵触的条款。</w:t>
      </w:r>
    </w:p>
    <w:p>
      <w:pPr>
        <w:spacing w:line="360" w:lineRule="auto"/>
        <w:ind w:firstLine="480" w:firstLineChars="200"/>
        <w:outlineLvl w:val="0"/>
        <w:rPr>
          <w:rFonts w:ascii="Times New Roman" w:hAnsi="Times New Roman" w:eastAsia="黑体" w:cs="Times New Roman"/>
          <w:sz w:val="24"/>
          <w:highlight w:val="none"/>
        </w:rPr>
      </w:pPr>
      <w:r>
        <w:rPr>
          <w:rFonts w:hint="eastAsia" w:ascii="Times New Roman" w:hAnsi="Times New Roman" w:eastAsia="黑体" w:cs="Times New Roman"/>
          <w:sz w:val="24"/>
          <w:highlight w:val="none"/>
        </w:rPr>
        <w:t>五</w:t>
      </w:r>
      <w:r>
        <w:rPr>
          <w:rFonts w:ascii="Times New Roman" w:hAnsi="Times New Roman" w:eastAsia="黑体" w:cs="Times New Roman"/>
          <w:sz w:val="24"/>
          <w:highlight w:val="none"/>
        </w:rPr>
        <w:t>、主要条款的说明，主要技术指标、参数、试验验证的分析、综合论述</w:t>
      </w:r>
    </w:p>
    <w:p>
      <w:pPr>
        <w:spacing w:line="360" w:lineRule="auto"/>
        <w:ind w:firstLine="480" w:firstLineChars="200"/>
        <w:rPr>
          <w:rFonts w:hint="eastAsia" w:ascii="Times New Roman" w:hAnsi="Times New Roman" w:eastAsia="仿宋_GB2312" w:cs="Times New Roman"/>
          <w:bCs/>
          <w:color w:val="FF0000"/>
          <w:sz w:val="24"/>
          <w:highlight w:val="yellow"/>
          <w:lang w:val="en-US" w:eastAsia="zh-CN"/>
        </w:rPr>
      </w:pPr>
      <w:r>
        <w:rPr>
          <w:rFonts w:hint="eastAsia" w:ascii="Times New Roman" w:hAnsi="Times New Roman" w:eastAsia="仿宋_GB2312" w:cs="Times New Roman"/>
          <w:bCs/>
          <w:sz w:val="24"/>
          <w:lang w:eastAsia="zh-CN"/>
        </w:rPr>
        <w:t>标准起草组以“合法性、安全性、适应性、协调性和先进性”为修订原则，以文本结构更加合理、表述更加准确、技术指标更加科学为修订目标，从</w:t>
      </w:r>
      <w:r>
        <w:rPr>
          <w:rFonts w:hint="eastAsia" w:ascii="Times New Roman" w:hAnsi="Times New Roman" w:eastAsia="仿宋_GB2312" w:cs="Times New Roman"/>
          <w:bCs/>
          <w:sz w:val="24"/>
          <w:lang w:val="en-US" w:eastAsia="zh-CN"/>
        </w:rPr>
        <w:t>2</w:t>
      </w:r>
      <w:r>
        <w:rPr>
          <w:rFonts w:hint="eastAsia" w:ascii="Times New Roman" w:hAnsi="Times New Roman" w:eastAsia="仿宋_GB2312" w:cs="Times New Roman"/>
          <w:bCs/>
          <w:sz w:val="24"/>
          <w:lang w:eastAsia="zh-CN"/>
        </w:rPr>
        <w:t>个方</w:t>
      </w:r>
      <w:r>
        <w:rPr>
          <w:rFonts w:hint="eastAsia" w:ascii="Times New Roman" w:hAnsi="Times New Roman" w:eastAsia="仿宋_GB2312" w:cs="Times New Roman"/>
          <w:bCs/>
          <w:color w:val="auto"/>
          <w:sz w:val="24"/>
          <w:lang w:eastAsia="zh-CN"/>
        </w:rPr>
        <w:t>面对文本进行了修订，其中：</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1、</w:t>
      </w:r>
      <w:r>
        <w:rPr>
          <w:rFonts w:hint="eastAsia" w:ascii="Times New Roman" w:hAnsi="Times New Roman" w:eastAsia="仿宋_GB2312" w:cs="Times New Roman"/>
          <w:bCs/>
          <w:sz w:val="24"/>
          <w:highlight w:val="none"/>
        </w:rPr>
        <w:t>涉及</w:t>
      </w:r>
      <w:r>
        <w:rPr>
          <w:rFonts w:hint="eastAsia" w:ascii="Times New Roman" w:hAnsi="Times New Roman" w:eastAsia="仿宋_GB2312" w:cs="Times New Roman"/>
          <w:bCs/>
          <w:sz w:val="24"/>
          <w:highlight w:val="none"/>
          <w:lang w:eastAsia="zh-CN"/>
        </w:rPr>
        <w:t>结构性调整的主要有</w:t>
      </w:r>
      <w:r>
        <w:rPr>
          <w:rFonts w:hint="eastAsia" w:eastAsia="仿宋_GB2312" w:cs="Times New Roman"/>
          <w:bCs/>
          <w:sz w:val="24"/>
          <w:highlight w:val="none"/>
          <w:lang w:val="en-US" w:eastAsia="zh-CN"/>
        </w:rPr>
        <w:t>2</w:t>
      </w:r>
      <w:r>
        <w:rPr>
          <w:rFonts w:hint="eastAsia" w:ascii="Times New Roman" w:hAnsi="Times New Roman" w:eastAsia="仿宋_GB2312" w:cs="Times New Roman"/>
          <w:bCs/>
          <w:sz w:val="24"/>
          <w:highlight w:val="none"/>
          <w:lang w:val="en-US" w:eastAsia="zh-CN"/>
        </w:rPr>
        <w:t>项：</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（1）</w:t>
      </w:r>
      <w:r>
        <w:rPr>
          <w:rFonts w:hint="eastAsia" w:eastAsia="仿宋_GB2312" w:cs="Times New Roman"/>
          <w:bCs/>
          <w:sz w:val="24"/>
          <w:highlight w:val="none"/>
          <w:lang w:val="en-US" w:eastAsia="zh-CN"/>
        </w:rPr>
        <w:t>正文部分修改10章</w:t>
      </w:r>
      <w:r>
        <w:rPr>
          <w:rFonts w:hint="eastAsia" w:eastAsia="仿宋_GB2312" w:cs="Times New Roman"/>
          <w:bCs/>
          <w:sz w:val="24"/>
          <w:highlight w:val="none"/>
          <w:lang w:eastAsia="zh-CN"/>
        </w:rPr>
        <w:t>为</w:t>
      </w:r>
      <w:r>
        <w:rPr>
          <w:rFonts w:hint="eastAsia" w:eastAsia="仿宋_GB2312" w:cs="Times New Roman"/>
          <w:bCs/>
          <w:sz w:val="24"/>
          <w:highlight w:val="none"/>
          <w:lang w:val="en-US" w:eastAsia="zh-CN"/>
        </w:rPr>
        <w:t>13章，</w:t>
      </w:r>
      <w:r>
        <w:rPr>
          <w:rFonts w:hint="eastAsia" w:ascii="Times New Roman" w:hAnsi="Times New Roman" w:eastAsia="仿宋_GB2312" w:cs="Times New Roman"/>
          <w:bCs/>
          <w:sz w:val="24"/>
          <w:highlight w:val="none"/>
          <w:lang w:eastAsia="zh-CN"/>
        </w:rPr>
        <w:t>增加了“</w:t>
      </w:r>
      <w:r>
        <w:rPr>
          <w:rFonts w:hint="eastAsia" w:eastAsia="仿宋_GB2312" w:cs="Times New Roman"/>
          <w:bCs/>
          <w:sz w:val="24"/>
          <w:highlight w:val="none"/>
          <w:lang w:val="en-US" w:eastAsia="zh-CN"/>
        </w:rPr>
        <w:t>塑料大棚结构与性能</w:t>
      </w:r>
      <w:r>
        <w:rPr>
          <w:rFonts w:hint="eastAsia" w:ascii="Times New Roman" w:hAnsi="Times New Roman" w:eastAsia="仿宋_GB2312" w:cs="Times New Roman"/>
          <w:bCs/>
          <w:sz w:val="24"/>
          <w:highlight w:val="none"/>
          <w:lang w:eastAsia="zh-CN"/>
        </w:rPr>
        <w:t>”</w:t>
      </w:r>
      <w:r>
        <w:rPr>
          <w:rFonts w:hint="eastAsia" w:eastAsia="仿宋_GB2312" w:cs="Times New Roman"/>
          <w:bCs/>
          <w:sz w:val="24"/>
          <w:highlight w:val="none"/>
          <w:lang w:eastAsia="zh-CN"/>
        </w:rPr>
        <w:t>、“种苗”、“二氧化碳施肥”与“病虫害防治”</w:t>
      </w:r>
      <w:r>
        <w:rPr>
          <w:rFonts w:hint="eastAsia" w:ascii="Times New Roman" w:hAnsi="Times New Roman" w:eastAsia="仿宋_GB2312" w:cs="Times New Roman"/>
          <w:bCs/>
          <w:sz w:val="24"/>
          <w:highlight w:val="none"/>
          <w:lang w:val="en-US" w:eastAsia="zh-CN"/>
        </w:rPr>
        <w:t>，删除了“</w:t>
      </w:r>
      <w:r>
        <w:rPr>
          <w:rFonts w:hint="eastAsia" w:eastAsia="仿宋_GB2312" w:cs="Times New Roman"/>
          <w:bCs/>
          <w:sz w:val="24"/>
          <w:highlight w:val="none"/>
          <w:lang w:val="en-US" w:eastAsia="zh-CN"/>
        </w:rPr>
        <w:t>品种选择与秧苗标准</w:t>
      </w:r>
      <w:r>
        <w:rPr>
          <w:rFonts w:hint="eastAsia" w:ascii="Times New Roman" w:hAnsi="Times New Roman" w:eastAsia="仿宋_GB2312" w:cs="Times New Roman"/>
          <w:bCs/>
          <w:sz w:val="24"/>
          <w:highlight w:val="none"/>
          <w:lang w:val="en-US" w:eastAsia="zh-CN"/>
        </w:rPr>
        <w:t>”。修订原因：进一步完善。</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eastAsia="仿宋_GB2312" w:cs="Times New Roman"/>
          <w:bCs/>
          <w:sz w:val="24"/>
          <w:highlight w:val="none"/>
          <w:lang w:val="en-US" w:eastAsia="zh-CN"/>
        </w:rPr>
        <w:t>（2）增加了“附录A（资料性） 生产档案”。</w:t>
      </w:r>
    </w:p>
    <w:p>
      <w:pPr>
        <w:numPr>
          <w:ilvl w:val="0"/>
          <w:numId w:val="0"/>
        </w:numPr>
        <w:spacing w:line="360" w:lineRule="auto"/>
        <w:ind w:firstLine="480" w:firstLineChars="200"/>
        <w:rPr>
          <w:rFonts w:hint="default"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2、涉及表述与编辑性修改的主要有</w:t>
      </w:r>
      <w:r>
        <w:rPr>
          <w:rFonts w:hint="eastAsia" w:eastAsia="仿宋_GB2312" w:cs="Times New Roman"/>
          <w:bCs/>
          <w:sz w:val="24"/>
          <w:highlight w:val="none"/>
          <w:lang w:val="en-US" w:eastAsia="zh-CN"/>
        </w:rPr>
        <w:t>5</w:t>
      </w:r>
      <w:r>
        <w:rPr>
          <w:rFonts w:hint="eastAsia" w:ascii="Times New Roman" w:hAnsi="Times New Roman" w:eastAsia="仿宋_GB2312" w:cs="Times New Roman"/>
          <w:bCs/>
          <w:sz w:val="24"/>
          <w:highlight w:val="none"/>
          <w:lang w:val="en-US" w:eastAsia="zh-CN"/>
        </w:rPr>
        <w:t>项：</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eastAsia="zh-CN"/>
        </w:rPr>
      </w:pPr>
      <w:r>
        <w:rPr>
          <w:rFonts w:hint="eastAsia" w:ascii="Times New Roman" w:hAnsi="Times New Roman" w:eastAsia="仿宋_GB2312" w:cs="Times New Roman"/>
          <w:bCs/>
          <w:sz w:val="24"/>
          <w:highlight w:val="none"/>
          <w:lang w:val="en-US" w:eastAsia="zh-CN"/>
        </w:rPr>
        <w:t>更改了规范性引用文件（见2，2016版2）；“种苗”的部分内容（见6，2016版5）；“整地施肥”的部分内容（见7，2016版6）；“田间管理”内容（见9，2016版8）；“二氧化碳施肥”部分内容（见10，2016版8.4）</w:t>
      </w:r>
      <w:r>
        <w:rPr>
          <w:rFonts w:hint="eastAsia" w:eastAsia="仿宋_GB2312" w:cs="Times New Roman"/>
          <w:bCs/>
          <w:sz w:val="24"/>
          <w:highlight w:val="none"/>
          <w:lang w:val="en-US" w:eastAsia="zh-CN"/>
        </w:rPr>
        <w:t>。</w:t>
      </w:r>
      <w:r>
        <w:rPr>
          <w:rFonts w:hint="eastAsia" w:ascii="Times New Roman" w:hAnsi="Times New Roman" w:eastAsia="仿宋_GB2312" w:cs="Times New Roman"/>
          <w:bCs/>
          <w:sz w:val="24"/>
          <w:highlight w:val="none"/>
          <w:lang w:eastAsia="zh-CN"/>
        </w:rPr>
        <w:t>修订原因：</w:t>
      </w:r>
      <w:r>
        <w:rPr>
          <w:rFonts w:hint="eastAsia" w:ascii="Times New Roman" w:hAnsi="Times New Roman" w:eastAsia="仿宋_GB2312" w:cs="Times New Roman"/>
          <w:bCs/>
          <w:sz w:val="24"/>
          <w:highlight w:val="none"/>
          <w:lang w:val="en-US" w:eastAsia="zh-CN"/>
        </w:rPr>
        <w:t>进一步规范</w:t>
      </w:r>
      <w:r>
        <w:rPr>
          <w:rFonts w:hint="eastAsia" w:ascii="Times New Roman" w:hAnsi="Times New Roman" w:eastAsia="仿宋_GB2312" w:cs="Times New Roman"/>
          <w:bCs/>
          <w:sz w:val="24"/>
          <w:highlight w:val="none"/>
          <w:lang w:eastAsia="zh-CN"/>
        </w:rPr>
        <w:t>。</w:t>
      </w:r>
    </w:p>
    <w:p>
      <w:pPr>
        <w:spacing w:line="360" w:lineRule="auto"/>
        <w:ind w:firstLine="480" w:firstLineChars="200"/>
        <w:rPr>
          <w:rFonts w:eastAsia="仿宋_GB2312"/>
          <w:bCs/>
          <w:sz w:val="24"/>
          <w:highlight w:val="none"/>
        </w:rPr>
      </w:pPr>
      <w:r>
        <w:rPr>
          <w:rFonts w:hint="eastAsia" w:eastAsia="仿宋_GB2312"/>
          <w:bCs/>
          <w:sz w:val="24"/>
          <w:highlight w:val="none"/>
        </w:rPr>
        <w:t>3、试验验证</w:t>
      </w:r>
    </w:p>
    <w:p>
      <w:pPr>
        <w:spacing w:line="360" w:lineRule="auto"/>
        <w:ind w:firstLine="480" w:firstLineChars="200"/>
        <w:rPr>
          <w:rFonts w:hint="eastAsia" w:eastAsia="仿宋_GB2312"/>
          <w:bCs/>
          <w:sz w:val="24"/>
          <w:highlight w:val="none"/>
          <w:lang w:val="en-US" w:eastAsia="zh-CN"/>
        </w:rPr>
      </w:pPr>
      <w:r>
        <w:rPr>
          <w:rFonts w:hint="eastAsia" w:eastAsia="仿宋_GB2312"/>
          <w:bCs/>
          <w:sz w:val="24"/>
          <w:highlight w:val="none"/>
        </w:rPr>
        <w:t>3.1不同CO</w:t>
      </w:r>
      <w:r>
        <w:rPr>
          <w:rFonts w:hint="eastAsia" w:eastAsia="仿宋_GB2312"/>
          <w:bCs/>
          <w:sz w:val="24"/>
          <w:highlight w:val="none"/>
          <w:vertAlign w:val="subscript"/>
        </w:rPr>
        <w:t>2</w:t>
      </w:r>
      <w:r>
        <w:rPr>
          <w:rFonts w:hint="eastAsia" w:eastAsia="仿宋_GB2312"/>
          <w:bCs/>
          <w:sz w:val="24"/>
          <w:highlight w:val="none"/>
        </w:rPr>
        <w:t>浓度下番茄果实生长动态</w:t>
      </w:r>
      <w:r>
        <w:rPr>
          <w:rFonts w:hint="eastAsia" w:eastAsia="仿宋_GB2312"/>
          <w:bCs/>
          <w:sz w:val="24"/>
          <w:highlight w:val="none"/>
          <w:lang w:val="en-US" w:eastAsia="zh-CN"/>
        </w:rPr>
        <w:t>研究</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于2017年2-6月在山西农业大学园艺站塑料大棚中进行试验，对照与富碳处理中间用塑料棚膜进行隔离，一侧为富碳处理，一侧常规对照。定植缓苗10 d后，开始施用CO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采用钢瓶施放法，施放系统排气管置于处理区域中央，施放位置固定在植株冠层上部。每天日出1 h后施放2 h，施用浓度控制在800（±50） µmol·mol</w:t>
      </w:r>
      <w:r>
        <w:rPr>
          <w:rFonts w:hint="eastAsia" w:ascii="Times New Roman" w:hAnsi="Times New Roman" w:eastAsia="仿宋_GB2312" w:cs="Times New Roman"/>
          <w:bCs/>
          <w:sz w:val="24"/>
          <w:highlight w:val="none"/>
          <w:vertAlign w:val="superscript"/>
          <w:lang w:val="en-US" w:eastAsia="zh-CN"/>
        </w:rPr>
        <w:t>-1</w:t>
      </w:r>
      <w:r>
        <w:rPr>
          <w:rFonts w:hint="eastAsia" w:ascii="Times New Roman" w:hAnsi="Times New Roman" w:eastAsia="仿宋_GB2312" w:cs="Times New Roman"/>
          <w:bCs/>
          <w:sz w:val="24"/>
          <w:highlight w:val="none"/>
          <w:lang w:val="en-US" w:eastAsia="zh-CN"/>
        </w:rPr>
        <w:t>。CO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的浓度控制采用盛炎科技研发的CO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自动调控系统进行，当检测器监测到环境CO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浓度低于800μmol·mol-1时自动施肥。</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由图1可见，番茄处理组与对照组果实纵横径随着生长期会逐渐增加，处理35 d、38 d、41 d、44 d、47 d、50 d、53 d、56 d后，CO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加富处理组的纵横径均较对照组高，但差异均未达到显著水平。由生长动态曲线可以看出CO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加富环境会加快果实生长速率，成熟期果实体积会略有增加。CO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加富环境对番茄果实生长速率有一定影响，生长前期会促进果实生长速率，后期处理与对照趋近一致，成熟期果实横纵经有微弱增加，但差异未达到显著水平。</w:t>
      </w:r>
    </w:p>
    <w:p>
      <w:pPr>
        <w:spacing w:line="312" w:lineRule="auto"/>
        <w:jc w:val="center"/>
        <w:rPr>
          <w:rFonts w:ascii="Times New Roman" w:hAnsi="Times New Roman"/>
          <w:bCs/>
          <w:sz w:val="28"/>
          <w:szCs w:val="28"/>
        </w:rPr>
      </w:pPr>
      <w:r>
        <w:rPr>
          <w:rFonts w:hint="eastAsia" w:ascii="Times New Roman" w:hAnsi="Times New Roman" w:eastAsia="仿宋_GB2312" w:cs="Times New Roman"/>
          <w:bCs/>
          <w:sz w:val="24"/>
          <w:highlight w:val="none"/>
          <w:lang w:val="en-US" w:eastAsia="zh-CN"/>
        </w:rPr>
        <w:drawing>
          <wp:inline distT="0" distB="0" distL="114300" distR="114300">
            <wp:extent cx="2522220" cy="1816100"/>
            <wp:effectExtent l="0" t="0" r="11430" b="12700"/>
            <wp:docPr id="1" name="图片 1" descr="横径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横径23"/>
                    <pic:cNvPicPr>
                      <a:picLocks noChangeAspect="1"/>
                    </pic:cNvPicPr>
                  </pic:nvPicPr>
                  <pic:blipFill>
                    <a:blip r:embed="rId5"/>
                    <a:srcRect t="2348"/>
                    <a:stretch>
                      <a:fillRect/>
                    </a:stretch>
                  </pic:blipFill>
                  <pic:spPr>
                    <a:xfrm>
                      <a:off x="0" y="0"/>
                      <a:ext cx="2522220" cy="1816100"/>
                    </a:xfrm>
                    <a:prstGeom prst="rect">
                      <a:avLst/>
                    </a:prstGeom>
                    <a:noFill/>
                    <a:ln>
                      <a:noFill/>
                    </a:ln>
                  </pic:spPr>
                </pic:pic>
              </a:graphicData>
            </a:graphic>
          </wp:inline>
        </w:drawing>
      </w:r>
      <w:r>
        <w:rPr>
          <w:rFonts w:hint="eastAsia" w:eastAsia="仿宋_GB2312" w:cs="Times New Roman"/>
          <w:bCs/>
          <w:sz w:val="24"/>
          <w:highlight w:val="none"/>
          <w:lang w:val="en-US" w:eastAsia="zh-CN"/>
        </w:rPr>
        <w:t xml:space="preserve">    </w:t>
      </w:r>
      <w:r>
        <w:rPr>
          <w:rFonts w:ascii="Times New Roman" w:hAnsi="Times New Roman"/>
          <w:bCs/>
          <w:sz w:val="28"/>
          <w:szCs w:val="28"/>
        </w:rPr>
        <w:drawing>
          <wp:inline distT="0" distB="0" distL="114300" distR="114300">
            <wp:extent cx="2416810" cy="1785620"/>
            <wp:effectExtent l="0" t="0" r="2540" b="5080"/>
            <wp:docPr id="2" name="图片 2" descr="纵径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纵径23"/>
                    <pic:cNvPicPr>
                      <a:picLocks noChangeAspect="1"/>
                    </pic:cNvPicPr>
                  </pic:nvPicPr>
                  <pic:blipFill>
                    <a:blip r:embed="rId6"/>
                    <a:srcRect t="3500"/>
                    <a:stretch>
                      <a:fillRect/>
                    </a:stretch>
                  </pic:blipFill>
                  <pic:spPr>
                    <a:xfrm>
                      <a:off x="0" y="0"/>
                      <a:ext cx="2416810" cy="1785620"/>
                    </a:xfrm>
                    <a:prstGeom prst="rect">
                      <a:avLst/>
                    </a:prstGeom>
                    <a:noFill/>
                    <a:ln>
                      <a:noFill/>
                    </a:ln>
                  </pic:spPr>
                </pic:pic>
              </a:graphicData>
            </a:graphic>
          </wp:inline>
        </w:drawing>
      </w:r>
    </w:p>
    <w:p>
      <w:pPr>
        <w:spacing w:line="312" w:lineRule="auto"/>
        <w:jc w:val="center"/>
        <w:rPr>
          <w:rFonts w:ascii="Times New Roman" w:hAnsi="Times New Roman"/>
          <w:bCs/>
          <w:sz w:val="24"/>
          <w:szCs w:val="24"/>
        </w:rPr>
      </w:pPr>
      <w:r>
        <w:rPr>
          <w:rFonts w:ascii="Times New Roman" w:hAnsi="Times New Roman" w:eastAsia="黑体"/>
          <w:bCs/>
          <w:szCs w:val="21"/>
        </w:rPr>
        <w:t>图</w:t>
      </w:r>
      <w:r>
        <w:rPr>
          <w:rFonts w:hint="eastAsia" w:ascii="Times New Roman" w:hAnsi="Times New Roman" w:eastAsia="黑体"/>
          <w:bCs/>
          <w:szCs w:val="21"/>
          <w:lang w:val="en-US" w:eastAsia="zh-CN"/>
        </w:rPr>
        <w:t>1</w:t>
      </w:r>
      <w:r>
        <w:rPr>
          <w:rFonts w:ascii="Times New Roman" w:hAnsi="Times New Roman" w:eastAsia="黑体"/>
          <w:bCs/>
          <w:szCs w:val="21"/>
        </w:rPr>
        <w:t xml:space="preserve"> </w:t>
      </w:r>
      <w:r>
        <w:rPr>
          <w:rFonts w:hint="eastAsia" w:eastAsia="黑体"/>
          <w:bCs/>
          <w:szCs w:val="21"/>
          <w:lang w:val="en-US" w:eastAsia="zh-CN"/>
        </w:rPr>
        <w:t xml:space="preserve"> </w:t>
      </w:r>
      <w:r>
        <w:rPr>
          <w:rFonts w:ascii="Times New Roman" w:hAnsi="Times New Roman" w:eastAsia="黑体"/>
          <w:bCs/>
          <w:szCs w:val="21"/>
        </w:rPr>
        <w:t>不同CO</w:t>
      </w:r>
      <w:r>
        <w:rPr>
          <w:rFonts w:ascii="Times New Roman" w:hAnsi="Times New Roman" w:eastAsia="黑体"/>
          <w:bCs/>
          <w:szCs w:val="21"/>
          <w:vertAlign w:val="subscript"/>
        </w:rPr>
        <w:t>2</w:t>
      </w:r>
      <w:r>
        <w:rPr>
          <w:rFonts w:ascii="Times New Roman" w:hAnsi="Times New Roman" w:eastAsia="黑体"/>
          <w:bCs/>
          <w:szCs w:val="21"/>
        </w:rPr>
        <w:t>浓度下番茄果实生长动态</w:t>
      </w:r>
    </w:p>
    <w:p>
      <w:pPr>
        <w:spacing w:line="480" w:lineRule="auto"/>
        <w:jc w:val="left"/>
        <w:outlineLvl w:val="1"/>
        <w:rPr>
          <w:rFonts w:ascii="Times New Roman" w:hAnsi="Times New Roman" w:eastAsia="楷体"/>
          <w:bCs/>
          <w:sz w:val="28"/>
          <w:szCs w:val="28"/>
        </w:rPr>
      </w:pPr>
      <w:r>
        <w:rPr>
          <w:rFonts w:hint="eastAsia" w:ascii="Times New Roman" w:hAnsi="Times New Roman" w:eastAsia="楷体"/>
          <w:bCs/>
          <w:sz w:val="28"/>
          <w:szCs w:val="28"/>
          <w:lang w:val="en-US" w:eastAsia="zh-CN"/>
        </w:rPr>
        <w:t xml:space="preserve">3.2 </w:t>
      </w:r>
      <w:r>
        <w:rPr>
          <w:rFonts w:ascii="Times New Roman" w:hAnsi="Times New Roman" w:eastAsia="楷体"/>
          <w:bCs/>
          <w:sz w:val="28"/>
          <w:szCs w:val="28"/>
        </w:rPr>
        <w:t>CO</w:t>
      </w:r>
      <w:r>
        <w:rPr>
          <w:rFonts w:ascii="Times New Roman" w:hAnsi="Times New Roman" w:eastAsia="楷体"/>
          <w:bCs/>
          <w:sz w:val="28"/>
          <w:szCs w:val="28"/>
          <w:vertAlign w:val="subscript"/>
        </w:rPr>
        <w:t>2</w:t>
      </w:r>
      <w:r>
        <w:rPr>
          <w:rFonts w:ascii="Times New Roman" w:hAnsi="Times New Roman" w:eastAsia="楷体"/>
          <w:bCs/>
          <w:sz w:val="28"/>
          <w:szCs w:val="28"/>
        </w:rPr>
        <w:t>加富对番茄产量的影响</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4个番茄品种处理组与对照组均选择长势一致植株10株，分别种植于不同的区域中，每株植株留5穗果打顶，每穗果留果3-4个，计总产。</w:t>
      </w:r>
    </w:p>
    <w:p>
      <w:pPr>
        <w:numPr>
          <w:ilvl w:val="0"/>
          <w:numId w:val="0"/>
        </w:numPr>
        <w:spacing w:line="360" w:lineRule="auto"/>
        <w:ind w:firstLine="480" w:firstLineChars="200"/>
        <w:rPr>
          <w:rFonts w:ascii="Times New Roman" w:hAnsi="Times New Roman"/>
          <w:bCs/>
          <w:sz w:val="24"/>
          <w:szCs w:val="24"/>
        </w:rPr>
      </w:pPr>
      <w:r>
        <w:rPr>
          <w:rFonts w:hint="eastAsia" w:ascii="Times New Roman" w:hAnsi="Times New Roman" w:eastAsia="仿宋_GB2312" w:cs="Times New Roman"/>
          <w:bCs/>
          <w:sz w:val="24"/>
          <w:highlight w:val="none"/>
          <w:lang w:val="en-US" w:eastAsia="zh-CN"/>
        </w:rPr>
        <w:t>由图2可知，4个番茄品种在富碳条件下的产量均较对照组高，在富碳条件下‘金盾’、‘中研868’与‘红钻石’的产量分别为3658.48 kg/667m</w:t>
      </w:r>
      <w:r>
        <w:rPr>
          <w:rFonts w:hint="eastAsia" w:ascii="Times New Roman" w:hAnsi="Times New Roman" w:eastAsia="仿宋_GB2312" w:cs="Times New Roman"/>
          <w:bCs/>
          <w:sz w:val="24"/>
          <w:highlight w:val="none"/>
          <w:vertAlign w:val="superscript"/>
          <w:lang w:val="en-US" w:eastAsia="zh-CN"/>
        </w:rPr>
        <w:t>2</w:t>
      </w:r>
      <w:r>
        <w:rPr>
          <w:rFonts w:hint="eastAsia" w:ascii="Times New Roman" w:hAnsi="Times New Roman" w:eastAsia="仿宋_GB2312" w:cs="Times New Roman"/>
          <w:bCs/>
          <w:sz w:val="24"/>
          <w:highlight w:val="none"/>
          <w:lang w:val="en-US" w:eastAsia="zh-CN"/>
        </w:rPr>
        <w:t>、3982.59 kg/667m</w:t>
      </w:r>
      <w:r>
        <w:rPr>
          <w:rFonts w:hint="eastAsia" w:ascii="Times New Roman" w:hAnsi="Times New Roman" w:eastAsia="仿宋_GB2312" w:cs="Times New Roman"/>
          <w:bCs/>
          <w:sz w:val="24"/>
          <w:highlight w:val="none"/>
          <w:vertAlign w:val="superscript"/>
          <w:lang w:val="en-US" w:eastAsia="zh-CN"/>
        </w:rPr>
        <w:t>2</w:t>
      </w:r>
      <w:r>
        <w:rPr>
          <w:rFonts w:hint="eastAsia" w:ascii="Times New Roman" w:hAnsi="Times New Roman" w:eastAsia="仿宋_GB2312" w:cs="Times New Roman"/>
          <w:bCs/>
          <w:sz w:val="24"/>
          <w:highlight w:val="none"/>
          <w:lang w:val="en-US" w:eastAsia="zh-CN"/>
        </w:rPr>
        <w:t>和4038.49 kg/667m</w:t>
      </w:r>
      <w:r>
        <w:rPr>
          <w:rFonts w:hint="eastAsia" w:ascii="Times New Roman" w:hAnsi="Times New Roman" w:eastAsia="仿宋_GB2312" w:cs="Times New Roman"/>
          <w:bCs/>
          <w:sz w:val="24"/>
          <w:highlight w:val="none"/>
          <w:vertAlign w:val="superscript"/>
          <w:lang w:val="en-US" w:eastAsia="zh-CN"/>
        </w:rPr>
        <w:t>2</w:t>
      </w:r>
      <w:r>
        <w:rPr>
          <w:rFonts w:hint="eastAsia" w:ascii="Times New Roman" w:hAnsi="Times New Roman" w:eastAsia="仿宋_GB2312" w:cs="Times New Roman"/>
          <w:bCs/>
          <w:sz w:val="24"/>
          <w:highlight w:val="none"/>
          <w:lang w:val="en-US" w:eastAsia="zh-CN"/>
        </w:rPr>
        <w:t>，比对照分别提高7.04%、7.23%和1.81%，但差异均未达到显著水平；富碳条件下‘美国红之星’的产量为4167.7 kg/667m2，比对照提高16.93%，且差异达到了显著水平。</w:t>
      </w:r>
    </w:p>
    <w:p>
      <w:pPr>
        <w:rPr>
          <w:rFonts w:ascii="Times New Roman" w:hAnsi="Times New Roman" w:eastAsia="等线"/>
          <w:bCs/>
        </w:rPr>
      </w:pPr>
      <w:r>
        <w:rPr>
          <w:rFonts w:ascii="Times New Roman" w:hAnsi="Times New Roman" w:eastAsia="等线"/>
          <w:bCs/>
        </w:rPr>
        <w:drawing>
          <wp:inline distT="0" distB="0" distL="114300" distR="114300">
            <wp:extent cx="2249170" cy="1714500"/>
            <wp:effectExtent l="0" t="0" r="17780" b="0"/>
            <wp:docPr id="6" name="图片 3" descr="金盾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金盾23"/>
                    <pic:cNvPicPr>
                      <a:picLocks noChangeAspect="1"/>
                    </pic:cNvPicPr>
                  </pic:nvPicPr>
                  <pic:blipFill>
                    <a:blip r:embed="rId7"/>
                    <a:stretch>
                      <a:fillRect/>
                    </a:stretch>
                  </pic:blipFill>
                  <pic:spPr>
                    <a:xfrm>
                      <a:off x="0" y="0"/>
                      <a:ext cx="2249170" cy="1714500"/>
                    </a:xfrm>
                    <a:prstGeom prst="rect">
                      <a:avLst/>
                    </a:prstGeom>
                    <a:noFill/>
                    <a:ln>
                      <a:noFill/>
                    </a:ln>
                  </pic:spPr>
                </pic:pic>
              </a:graphicData>
            </a:graphic>
          </wp:inline>
        </w:drawing>
      </w:r>
      <w:r>
        <w:rPr>
          <w:rFonts w:ascii="Times New Roman" w:hAnsi="Times New Roman" w:eastAsia="等线"/>
          <w:bCs/>
        </w:rPr>
        <w:drawing>
          <wp:inline distT="0" distB="0" distL="114300" distR="114300">
            <wp:extent cx="2249805" cy="1727200"/>
            <wp:effectExtent l="0" t="0" r="17145" b="6350"/>
            <wp:docPr id="5" name="图片 4" descr="中研8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中研86823"/>
                    <pic:cNvPicPr>
                      <a:picLocks noChangeAspect="1"/>
                    </pic:cNvPicPr>
                  </pic:nvPicPr>
                  <pic:blipFill>
                    <a:blip r:embed="rId8"/>
                    <a:stretch>
                      <a:fillRect/>
                    </a:stretch>
                  </pic:blipFill>
                  <pic:spPr>
                    <a:xfrm>
                      <a:off x="0" y="0"/>
                      <a:ext cx="2249805" cy="1727200"/>
                    </a:xfrm>
                    <a:prstGeom prst="rect">
                      <a:avLst/>
                    </a:prstGeom>
                    <a:noFill/>
                    <a:ln>
                      <a:noFill/>
                    </a:ln>
                  </pic:spPr>
                </pic:pic>
              </a:graphicData>
            </a:graphic>
          </wp:inline>
        </w:drawing>
      </w:r>
      <w:r>
        <w:rPr>
          <w:rFonts w:hint="eastAsia" w:eastAsia="等线"/>
          <w:bCs/>
          <w:lang w:val="en-US" w:eastAsia="zh-CN"/>
        </w:rPr>
        <w:t xml:space="preserve"> </w:t>
      </w:r>
      <w:r>
        <w:rPr>
          <w:rFonts w:ascii="Times New Roman" w:hAnsi="Times New Roman" w:eastAsia="等线"/>
          <w:bCs/>
        </w:rPr>
        <w:drawing>
          <wp:inline distT="0" distB="0" distL="114300" distR="114300">
            <wp:extent cx="2064385" cy="1578610"/>
            <wp:effectExtent l="0" t="0" r="12065" b="2540"/>
            <wp:docPr id="3" name="图片 5" descr="红钻石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红钻石23"/>
                    <pic:cNvPicPr>
                      <a:picLocks noChangeAspect="1"/>
                    </pic:cNvPicPr>
                  </pic:nvPicPr>
                  <pic:blipFill>
                    <a:blip r:embed="rId9"/>
                    <a:stretch>
                      <a:fillRect/>
                    </a:stretch>
                  </pic:blipFill>
                  <pic:spPr>
                    <a:xfrm>
                      <a:off x="0" y="0"/>
                      <a:ext cx="2064385" cy="1578610"/>
                    </a:xfrm>
                    <a:prstGeom prst="rect">
                      <a:avLst/>
                    </a:prstGeom>
                    <a:noFill/>
                    <a:ln>
                      <a:noFill/>
                    </a:ln>
                  </pic:spPr>
                </pic:pic>
              </a:graphicData>
            </a:graphic>
          </wp:inline>
        </w:drawing>
      </w:r>
      <w:r>
        <w:rPr>
          <w:rFonts w:hint="eastAsia" w:ascii="Times New Roman" w:hAnsi="Times New Roman" w:eastAsia="等线"/>
          <w:bCs/>
          <w:lang w:val="en-US" w:eastAsia="zh-CN"/>
        </w:rPr>
        <w:t xml:space="preserve">              </w:t>
      </w:r>
      <w:r>
        <w:rPr>
          <w:rFonts w:ascii="Times New Roman" w:hAnsi="Times New Roman" w:eastAsia="等线"/>
          <w:bCs/>
        </w:rPr>
        <w:drawing>
          <wp:inline distT="0" distB="0" distL="114300" distR="114300">
            <wp:extent cx="2146300" cy="1642110"/>
            <wp:effectExtent l="0" t="0" r="6350" b="15240"/>
            <wp:docPr id="4" name="图片 6" descr="美国红之星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美国红之星23"/>
                    <pic:cNvPicPr>
                      <a:picLocks noChangeAspect="1"/>
                    </pic:cNvPicPr>
                  </pic:nvPicPr>
                  <pic:blipFill>
                    <a:blip r:embed="rId10"/>
                    <a:stretch>
                      <a:fillRect/>
                    </a:stretch>
                  </pic:blipFill>
                  <pic:spPr>
                    <a:xfrm>
                      <a:off x="0" y="0"/>
                      <a:ext cx="2146300" cy="1642110"/>
                    </a:xfrm>
                    <a:prstGeom prst="rect">
                      <a:avLst/>
                    </a:prstGeom>
                    <a:noFill/>
                    <a:ln>
                      <a:noFill/>
                    </a:ln>
                  </pic:spPr>
                </pic:pic>
              </a:graphicData>
            </a:graphic>
          </wp:inline>
        </w:drawing>
      </w:r>
    </w:p>
    <w:p>
      <w:pPr>
        <w:spacing w:line="312" w:lineRule="auto"/>
        <w:jc w:val="center"/>
        <w:rPr>
          <w:rFonts w:ascii="Times New Roman" w:hAnsi="Times New Roman" w:eastAsia="黑体"/>
          <w:bCs/>
          <w:szCs w:val="21"/>
        </w:rPr>
      </w:pPr>
      <w:r>
        <w:rPr>
          <w:rFonts w:ascii="Times New Roman" w:hAnsi="Times New Roman" w:eastAsia="黑体"/>
          <w:bCs/>
          <w:szCs w:val="21"/>
        </w:rPr>
        <w:t>图</w:t>
      </w:r>
      <w:r>
        <w:rPr>
          <w:rFonts w:hint="eastAsia" w:ascii="Times New Roman" w:hAnsi="Times New Roman" w:eastAsia="黑体"/>
          <w:bCs/>
          <w:szCs w:val="21"/>
          <w:lang w:val="en-US" w:eastAsia="zh-CN"/>
        </w:rPr>
        <w:t>2</w:t>
      </w:r>
      <w:bookmarkStart w:id="0" w:name="_GoBack"/>
      <w:r>
        <w:rPr>
          <w:rFonts w:hint="eastAsia" w:eastAsia="黑体"/>
          <w:bCs/>
          <w:szCs w:val="21"/>
          <w:lang w:val="en-US" w:eastAsia="zh-CN"/>
        </w:rPr>
        <w:t xml:space="preserve"> </w:t>
      </w:r>
      <w:bookmarkEnd w:id="0"/>
      <w:r>
        <w:rPr>
          <w:rFonts w:ascii="Times New Roman" w:hAnsi="Times New Roman" w:eastAsia="黑体"/>
          <w:bCs/>
          <w:szCs w:val="21"/>
        </w:rPr>
        <w:t xml:space="preserve"> 4个番茄品种在不同CO</w:t>
      </w:r>
      <w:r>
        <w:rPr>
          <w:rFonts w:ascii="Times New Roman" w:hAnsi="Times New Roman" w:eastAsia="黑体"/>
          <w:bCs/>
          <w:szCs w:val="21"/>
          <w:vertAlign w:val="subscript"/>
        </w:rPr>
        <w:t>2</w:t>
      </w:r>
      <w:r>
        <w:rPr>
          <w:rFonts w:ascii="Times New Roman" w:hAnsi="Times New Roman" w:eastAsia="黑体"/>
          <w:bCs/>
          <w:szCs w:val="21"/>
        </w:rPr>
        <w:t>浓度下产量比较</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由图</w:t>
      </w:r>
      <w:r>
        <w:rPr>
          <w:rFonts w:hint="eastAsia" w:eastAsia="仿宋_GB2312" w:cs="Times New Roman"/>
          <w:bCs/>
          <w:sz w:val="24"/>
          <w:highlight w:val="none"/>
          <w:lang w:val="en-US" w:eastAsia="zh-CN"/>
        </w:rPr>
        <w:t>3</w:t>
      </w:r>
      <w:r>
        <w:rPr>
          <w:rFonts w:hint="eastAsia" w:ascii="Times New Roman" w:hAnsi="Times New Roman" w:eastAsia="仿宋_GB2312" w:cs="Times New Roman"/>
          <w:bCs/>
          <w:sz w:val="24"/>
          <w:highlight w:val="none"/>
          <w:lang w:val="en-US" w:eastAsia="zh-CN"/>
        </w:rPr>
        <w:t>可知，‘美国红之星’在富碳条件下番茄果实中可溶性糖含量为3.51%，较对照提高8.96%；可滴定酸含量为1.37%，较对照降低25.95%，差异均不显著；糖酸比为2.56，较对照提高47.13%，差异达到了显著水平；可溶性固形物为6.27%，较对照提高35.25%，且差异达到显著水平；维生素C含量为46.65 mg/g，较对照降低0.99%，差异未达到显著水平；番茄红素含量为20.95 µg/g，较对照提高72.24%，差异达到显著水平。说明CO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加富环境能提升番茄部分的品质。</w:t>
      </w:r>
    </w:p>
    <w:p>
      <w:pPr>
        <w:spacing w:line="360" w:lineRule="auto"/>
        <w:jc w:val="center"/>
        <w:rPr>
          <w:rFonts w:ascii="Times New Roman" w:hAnsi="Times New Roman"/>
          <w:bCs/>
          <w:sz w:val="24"/>
          <w:szCs w:val="24"/>
        </w:rPr>
      </w:pPr>
      <w:r>
        <w:rPr>
          <w:rFonts w:ascii="Times New Roman" w:hAnsi="Times New Roman" w:eastAsia="等线"/>
          <w:bCs/>
          <w:sz w:val="30"/>
          <w:szCs w:val="30"/>
        </w:rPr>
        <w:drawing>
          <wp:inline distT="0" distB="0" distL="114300" distR="114300">
            <wp:extent cx="2138045" cy="1928495"/>
            <wp:effectExtent l="0" t="0" r="14605" b="14605"/>
            <wp:docPr id="11" name="图片 7" descr="可溶性糖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可溶性糖223"/>
                    <pic:cNvPicPr>
                      <a:picLocks noChangeAspect="1"/>
                    </pic:cNvPicPr>
                  </pic:nvPicPr>
                  <pic:blipFill>
                    <a:blip r:embed="rId11"/>
                    <a:stretch>
                      <a:fillRect/>
                    </a:stretch>
                  </pic:blipFill>
                  <pic:spPr>
                    <a:xfrm>
                      <a:off x="0" y="0"/>
                      <a:ext cx="2138045" cy="1928495"/>
                    </a:xfrm>
                    <a:prstGeom prst="rect">
                      <a:avLst/>
                    </a:prstGeom>
                    <a:noFill/>
                    <a:ln>
                      <a:noFill/>
                    </a:ln>
                  </pic:spPr>
                </pic:pic>
              </a:graphicData>
            </a:graphic>
          </wp:inline>
        </w:drawing>
      </w:r>
      <w:r>
        <w:rPr>
          <w:rFonts w:hint="eastAsia" w:eastAsia="等线"/>
          <w:bCs/>
          <w:sz w:val="30"/>
          <w:szCs w:val="30"/>
          <w:lang w:val="en-US" w:eastAsia="zh-CN"/>
        </w:rPr>
        <w:t xml:space="preserve">       </w:t>
      </w:r>
      <w:r>
        <w:rPr>
          <w:rFonts w:ascii="Times New Roman" w:hAnsi="Times New Roman"/>
          <w:bCs/>
          <w:sz w:val="24"/>
          <w:szCs w:val="24"/>
        </w:rPr>
        <w:drawing>
          <wp:inline distT="0" distB="0" distL="114300" distR="114300">
            <wp:extent cx="1905000" cy="1768475"/>
            <wp:effectExtent l="0" t="0" r="0" b="3175"/>
            <wp:docPr id="9" name="图片 9" descr="糖酸比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糖酸比223"/>
                    <pic:cNvPicPr>
                      <a:picLocks noChangeAspect="1"/>
                    </pic:cNvPicPr>
                  </pic:nvPicPr>
                  <pic:blipFill>
                    <a:blip r:embed="rId12"/>
                    <a:stretch>
                      <a:fillRect/>
                    </a:stretch>
                  </pic:blipFill>
                  <pic:spPr>
                    <a:xfrm>
                      <a:off x="0" y="0"/>
                      <a:ext cx="1905000" cy="1768475"/>
                    </a:xfrm>
                    <a:prstGeom prst="rect">
                      <a:avLst/>
                    </a:prstGeom>
                    <a:noFill/>
                    <a:ln>
                      <a:noFill/>
                    </a:ln>
                  </pic:spPr>
                </pic:pic>
              </a:graphicData>
            </a:graphic>
          </wp:inline>
        </w:drawing>
      </w:r>
    </w:p>
    <w:p>
      <w:pPr>
        <w:spacing w:line="360" w:lineRule="auto"/>
        <w:jc w:val="center"/>
        <w:rPr>
          <w:rFonts w:ascii="Times New Roman" w:hAnsi="Times New Roman"/>
          <w:bCs/>
          <w:sz w:val="24"/>
          <w:szCs w:val="24"/>
        </w:rPr>
      </w:pPr>
      <w:r>
        <w:rPr>
          <w:rFonts w:ascii="Times New Roman" w:hAnsi="Times New Roman" w:eastAsia="等线"/>
          <w:bCs/>
          <w:sz w:val="30"/>
          <w:szCs w:val="30"/>
        </w:rPr>
        <w:drawing>
          <wp:inline distT="0" distB="0" distL="114300" distR="114300">
            <wp:extent cx="2114550" cy="1628140"/>
            <wp:effectExtent l="0" t="0" r="0" b="10160"/>
            <wp:docPr id="7" name="图片 8" descr="可滴定酸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可滴定酸223"/>
                    <pic:cNvPicPr>
                      <a:picLocks noChangeAspect="1"/>
                    </pic:cNvPicPr>
                  </pic:nvPicPr>
                  <pic:blipFill>
                    <a:blip r:embed="rId13"/>
                    <a:stretch>
                      <a:fillRect/>
                    </a:stretch>
                  </pic:blipFill>
                  <pic:spPr>
                    <a:xfrm>
                      <a:off x="0" y="0"/>
                      <a:ext cx="2114550" cy="1628140"/>
                    </a:xfrm>
                    <a:prstGeom prst="rect">
                      <a:avLst/>
                    </a:prstGeom>
                    <a:noFill/>
                    <a:ln>
                      <a:noFill/>
                    </a:ln>
                  </pic:spPr>
                </pic:pic>
              </a:graphicData>
            </a:graphic>
          </wp:inline>
        </w:drawing>
      </w:r>
      <w:r>
        <w:rPr>
          <w:rFonts w:hint="eastAsia" w:eastAsia="等线"/>
          <w:bCs/>
          <w:sz w:val="30"/>
          <w:szCs w:val="30"/>
          <w:lang w:val="en-US" w:eastAsia="zh-CN"/>
        </w:rPr>
        <w:t xml:space="preserve">       </w:t>
      </w:r>
      <w:r>
        <w:rPr>
          <w:rFonts w:ascii="Times New Roman" w:hAnsi="Times New Roman"/>
          <w:bCs/>
          <w:sz w:val="24"/>
          <w:szCs w:val="24"/>
        </w:rPr>
        <w:drawing>
          <wp:inline distT="0" distB="0" distL="114300" distR="114300">
            <wp:extent cx="1991360" cy="1523365"/>
            <wp:effectExtent l="0" t="0" r="8890" b="635"/>
            <wp:docPr id="8" name="图片 10" descr="可溶性固形物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可溶性固形物223"/>
                    <pic:cNvPicPr>
                      <a:picLocks noChangeAspect="1"/>
                    </pic:cNvPicPr>
                  </pic:nvPicPr>
                  <pic:blipFill>
                    <a:blip r:embed="rId14"/>
                    <a:stretch>
                      <a:fillRect/>
                    </a:stretch>
                  </pic:blipFill>
                  <pic:spPr>
                    <a:xfrm>
                      <a:off x="0" y="0"/>
                      <a:ext cx="1991360" cy="1523365"/>
                    </a:xfrm>
                    <a:prstGeom prst="rect">
                      <a:avLst/>
                    </a:prstGeom>
                    <a:noFill/>
                    <a:ln>
                      <a:noFill/>
                    </a:ln>
                  </pic:spPr>
                </pic:pic>
              </a:graphicData>
            </a:graphic>
          </wp:inline>
        </w:drawing>
      </w:r>
    </w:p>
    <w:p>
      <w:pPr>
        <w:spacing w:line="360" w:lineRule="auto"/>
        <w:jc w:val="center"/>
        <w:rPr>
          <w:rFonts w:ascii="Times New Roman" w:hAnsi="Times New Roman"/>
          <w:bCs/>
          <w:sz w:val="24"/>
          <w:szCs w:val="24"/>
        </w:rPr>
      </w:pPr>
      <w:r>
        <w:rPr>
          <w:rFonts w:ascii="Times New Roman" w:hAnsi="Times New Roman"/>
          <w:bCs/>
          <w:sz w:val="24"/>
          <w:szCs w:val="24"/>
        </w:rPr>
        <w:drawing>
          <wp:inline distT="0" distB="0" distL="114300" distR="114300">
            <wp:extent cx="2085975" cy="1590040"/>
            <wp:effectExtent l="0" t="0" r="9525" b="10160"/>
            <wp:docPr id="10" name="图片 11" descr="维生素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descr="维生素c23"/>
                    <pic:cNvPicPr>
                      <a:picLocks noChangeAspect="1"/>
                    </pic:cNvPicPr>
                  </pic:nvPicPr>
                  <pic:blipFill>
                    <a:blip r:embed="rId15"/>
                    <a:stretch>
                      <a:fillRect/>
                    </a:stretch>
                  </pic:blipFill>
                  <pic:spPr>
                    <a:xfrm>
                      <a:off x="0" y="0"/>
                      <a:ext cx="2085975" cy="1590040"/>
                    </a:xfrm>
                    <a:prstGeom prst="rect">
                      <a:avLst/>
                    </a:prstGeom>
                    <a:noFill/>
                    <a:ln>
                      <a:noFill/>
                    </a:ln>
                  </pic:spPr>
                </pic:pic>
              </a:graphicData>
            </a:graphic>
          </wp:inline>
        </w:drawing>
      </w:r>
      <w:r>
        <w:rPr>
          <w:rFonts w:hint="eastAsia"/>
          <w:bCs/>
          <w:sz w:val="24"/>
          <w:szCs w:val="24"/>
          <w:lang w:val="en-US" w:eastAsia="zh-CN"/>
        </w:rPr>
        <w:t xml:space="preserve">        </w:t>
      </w:r>
      <w:r>
        <w:rPr>
          <w:rFonts w:ascii="Times New Roman" w:hAnsi="Times New Roman"/>
          <w:bCs/>
          <w:sz w:val="24"/>
          <w:szCs w:val="24"/>
        </w:rPr>
        <w:drawing>
          <wp:inline distT="0" distB="0" distL="114300" distR="114300">
            <wp:extent cx="2056765" cy="1568450"/>
            <wp:effectExtent l="0" t="0" r="635" b="12700"/>
            <wp:docPr id="12" name="图片 12" descr="番茄红素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番茄红素223"/>
                    <pic:cNvPicPr>
                      <a:picLocks noChangeAspect="1"/>
                    </pic:cNvPicPr>
                  </pic:nvPicPr>
                  <pic:blipFill>
                    <a:blip r:embed="rId16"/>
                    <a:stretch>
                      <a:fillRect/>
                    </a:stretch>
                  </pic:blipFill>
                  <pic:spPr>
                    <a:xfrm>
                      <a:off x="0" y="0"/>
                      <a:ext cx="2056765" cy="1568450"/>
                    </a:xfrm>
                    <a:prstGeom prst="rect">
                      <a:avLst/>
                    </a:prstGeom>
                    <a:noFill/>
                    <a:ln>
                      <a:noFill/>
                    </a:ln>
                  </pic:spPr>
                </pic:pic>
              </a:graphicData>
            </a:graphic>
          </wp:inline>
        </w:drawing>
      </w:r>
    </w:p>
    <w:p>
      <w:pPr>
        <w:spacing w:line="360" w:lineRule="auto"/>
        <w:jc w:val="center"/>
        <w:rPr>
          <w:rFonts w:ascii="Times New Roman" w:hAnsi="Times New Roman" w:eastAsia="黑体"/>
          <w:bCs/>
          <w:szCs w:val="21"/>
        </w:rPr>
      </w:pPr>
      <w:r>
        <w:rPr>
          <w:rFonts w:ascii="Times New Roman" w:hAnsi="Times New Roman" w:eastAsia="黑体"/>
          <w:bCs/>
          <w:szCs w:val="21"/>
        </w:rPr>
        <w:t>图</w:t>
      </w:r>
      <w:r>
        <w:rPr>
          <w:rFonts w:hint="eastAsia" w:eastAsia="黑体"/>
          <w:bCs/>
          <w:szCs w:val="21"/>
          <w:lang w:val="en-US" w:eastAsia="zh-CN"/>
        </w:rPr>
        <w:t xml:space="preserve">3 </w:t>
      </w:r>
      <w:r>
        <w:rPr>
          <w:rFonts w:ascii="Times New Roman" w:hAnsi="Times New Roman" w:eastAsia="黑体"/>
          <w:bCs/>
          <w:szCs w:val="21"/>
        </w:rPr>
        <w:t xml:space="preserve"> ‘美国红之星’番茄在不同CO</w:t>
      </w:r>
      <w:r>
        <w:rPr>
          <w:rFonts w:ascii="Times New Roman" w:hAnsi="Times New Roman" w:eastAsia="黑体"/>
          <w:bCs/>
          <w:szCs w:val="21"/>
          <w:vertAlign w:val="subscript"/>
        </w:rPr>
        <w:t>2</w:t>
      </w:r>
      <w:r>
        <w:rPr>
          <w:rFonts w:ascii="Times New Roman" w:hAnsi="Times New Roman" w:eastAsia="黑体"/>
          <w:bCs/>
          <w:szCs w:val="21"/>
        </w:rPr>
        <w:t>浓度下品质指标比较</w:t>
      </w:r>
    </w:p>
    <w:p>
      <w:pPr>
        <w:numPr>
          <w:ilvl w:val="0"/>
          <w:numId w:val="0"/>
        </w:numPr>
        <w:spacing w:line="360" w:lineRule="auto"/>
        <w:ind w:firstLine="480" w:firstLineChars="200"/>
        <w:rPr>
          <w:rFonts w:hint="eastAsia" w:ascii="Times New Roman" w:hAnsi="Times New Roman" w:eastAsia="仿宋_GB2312" w:cs="Times New Roman"/>
          <w:bCs/>
          <w:sz w:val="24"/>
          <w:highlight w:val="none"/>
          <w:lang w:val="en-US" w:eastAsia="zh-CN"/>
        </w:rPr>
      </w:pPr>
      <w:r>
        <w:rPr>
          <w:rFonts w:hint="eastAsia" w:ascii="Times New Roman" w:hAnsi="Times New Roman" w:eastAsia="仿宋_GB2312" w:cs="Times New Roman"/>
          <w:bCs/>
          <w:sz w:val="24"/>
          <w:highlight w:val="none"/>
          <w:lang w:val="en-US" w:eastAsia="zh-CN"/>
        </w:rPr>
        <w:t>1）CO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加富环境对4个大果型番茄品种的产量均有不同程度的提高，处理组‘美国红之星’产量较对照提高16.93%，差异达到了显著水平。</w:t>
      </w:r>
    </w:p>
    <w:p>
      <w:pPr>
        <w:numPr>
          <w:ilvl w:val="0"/>
          <w:numId w:val="0"/>
        </w:numPr>
        <w:spacing w:line="360" w:lineRule="auto"/>
        <w:ind w:firstLine="480" w:firstLineChars="200"/>
        <w:rPr>
          <w:rFonts w:hint="eastAsia" w:ascii="Times New Roman" w:hAnsi="Times New Roman" w:eastAsia="黑体" w:cs="Times New Roman"/>
          <w:sz w:val="24"/>
        </w:rPr>
      </w:pPr>
      <w:r>
        <w:rPr>
          <w:rFonts w:hint="eastAsia" w:ascii="Times New Roman" w:hAnsi="Times New Roman" w:eastAsia="仿宋_GB2312" w:cs="Times New Roman"/>
          <w:bCs/>
          <w:sz w:val="24"/>
          <w:highlight w:val="none"/>
          <w:lang w:val="en-US" w:eastAsia="zh-CN"/>
        </w:rPr>
        <w:t>2）CO</w:t>
      </w:r>
      <w:r>
        <w:rPr>
          <w:rFonts w:hint="eastAsia" w:ascii="Times New Roman" w:hAnsi="Times New Roman" w:eastAsia="仿宋_GB2312" w:cs="Times New Roman"/>
          <w:bCs/>
          <w:sz w:val="24"/>
          <w:highlight w:val="none"/>
          <w:vertAlign w:val="subscript"/>
          <w:lang w:val="en-US" w:eastAsia="zh-CN"/>
        </w:rPr>
        <w:t>2</w:t>
      </w:r>
      <w:r>
        <w:rPr>
          <w:rFonts w:hint="eastAsia" w:ascii="Times New Roman" w:hAnsi="Times New Roman" w:eastAsia="仿宋_GB2312" w:cs="Times New Roman"/>
          <w:bCs/>
          <w:sz w:val="24"/>
          <w:highlight w:val="none"/>
          <w:lang w:val="en-US" w:eastAsia="zh-CN"/>
        </w:rPr>
        <w:t>加富环境对‘美国红之星’番茄果实的品质有影响，风味品质方面，可溶性糖含量增加，可滴定酸含量降低，糖酸比、可溶性固形物和番茄红素含量分别较对照提高47.13%、35.25%和72.24%，且差异均达到了显著。</w:t>
      </w:r>
    </w:p>
    <w:p>
      <w:pPr>
        <w:spacing w:line="360" w:lineRule="auto"/>
        <w:ind w:firstLine="480" w:firstLineChars="200"/>
        <w:outlineLvl w:val="0"/>
        <w:rPr>
          <w:rFonts w:ascii="Times New Roman" w:hAnsi="Times New Roman" w:eastAsia="黑体" w:cs="Times New Roman"/>
          <w:sz w:val="24"/>
        </w:rPr>
      </w:pPr>
      <w:r>
        <w:rPr>
          <w:rFonts w:hint="eastAsia" w:ascii="Times New Roman" w:hAnsi="Times New Roman" w:eastAsia="黑体" w:cs="Times New Roman"/>
          <w:sz w:val="24"/>
        </w:rPr>
        <w:t>六</w:t>
      </w:r>
      <w:r>
        <w:rPr>
          <w:rFonts w:ascii="Times New Roman" w:hAnsi="Times New Roman" w:eastAsia="黑体" w:cs="Times New Roman"/>
          <w:sz w:val="24"/>
        </w:rPr>
        <w:t>、</w:t>
      </w:r>
      <w:r>
        <w:rPr>
          <w:rFonts w:hint="eastAsia" w:ascii="Times New Roman" w:hAnsi="Times New Roman" w:eastAsia="黑体" w:cs="Times New Roman"/>
          <w:sz w:val="24"/>
        </w:rPr>
        <w:t>重大</w:t>
      </w:r>
      <w:r>
        <w:rPr>
          <w:rFonts w:ascii="Times New Roman" w:hAnsi="Times New Roman" w:eastAsia="黑体" w:cs="Times New Roman"/>
          <w:sz w:val="24"/>
        </w:rPr>
        <w:t>意见分歧的处理依据和结果</w:t>
      </w:r>
    </w:p>
    <w:p>
      <w:pPr>
        <w:spacing w:line="360" w:lineRule="auto"/>
        <w:ind w:firstLine="480" w:firstLineChars="200"/>
        <w:jc w:val="left"/>
        <w:rPr>
          <w:rFonts w:hint="eastAsia" w:ascii="Times New Roman" w:hAnsi="Times New Roman" w:eastAsia="仿宋_GB2312" w:cs="Times New Roman"/>
          <w:sz w:val="24"/>
          <w:lang w:eastAsia="zh-CN"/>
        </w:rPr>
      </w:pPr>
      <w:r>
        <w:rPr>
          <w:rFonts w:hint="eastAsia" w:ascii="Times New Roman" w:hAnsi="Times New Roman" w:eastAsia="仿宋_GB2312" w:cs="Times New Roman"/>
          <w:sz w:val="24"/>
          <w:lang w:val="en-US" w:eastAsia="zh-CN"/>
        </w:rPr>
        <w:t>无重大意见分歧</w:t>
      </w:r>
      <w:r>
        <w:rPr>
          <w:rFonts w:hint="eastAsia" w:ascii="Times New Roman" w:hAnsi="Times New Roman" w:eastAsia="仿宋_GB2312" w:cs="Times New Roman"/>
          <w:sz w:val="24"/>
        </w:rPr>
        <w:t>。</w:t>
      </w:r>
      <w:r>
        <w:rPr>
          <w:rFonts w:hint="eastAsia" w:ascii="Times New Roman" w:hAnsi="Times New Roman" w:eastAsia="仿宋_GB2312" w:cs="Times New Roman"/>
          <w:sz w:val="24"/>
          <w:lang w:eastAsia="zh-CN"/>
        </w:rPr>
        <w:t>征求意见汇总处理表见附表。</w:t>
      </w:r>
    </w:p>
    <w:p>
      <w:pPr>
        <w:spacing w:line="360" w:lineRule="auto"/>
        <w:ind w:firstLine="480" w:firstLineChars="200"/>
        <w:outlineLvl w:val="0"/>
        <w:rPr>
          <w:rFonts w:ascii="Times New Roman" w:hAnsi="Times New Roman" w:eastAsia="黑体" w:cs="Times New Roman"/>
          <w:sz w:val="24"/>
        </w:rPr>
      </w:pPr>
      <w:r>
        <w:rPr>
          <w:rFonts w:hint="eastAsia" w:ascii="Times New Roman" w:hAnsi="Times New Roman" w:eastAsia="黑体" w:cs="Times New Roman"/>
          <w:sz w:val="24"/>
        </w:rPr>
        <w:t>七</w:t>
      </w:r>
      <w:r>
        <w:rPr>
          <w:rFonts w:ascii="Times New Roman" w:hAnsi="Times New Roman" w:eastAsia="黑体" w:cs="Times New Roman"/>
          <w:sz w:val="24"/>
        </w:rPr>
        <w:t>、</w:t>
      </w:r>
      <w:r>
        <w:rPr>
          <w:rFonts w:hint="eastAsia" w:ascii="Times New Roman" w:hAnsi="Times New Roman" w:eastAsia="黑体" w:cs="Times New Roman"/>
          <w:sz w:val="24"/>
        </w:rPr>
        <w:t>采标</w:t>
      </w:r>
      <w:r>
        <w:rPr>
          <w:rFonts w:ascii="Times New Roman" w:hAnsi="Times New Roman" w:eastAsia="黑体" w:cs="Times New Roman"/>
          <w:sz w:val="24"/>
        </w:rPr>
        <w:t>情况，是否合规引用或采用国际标准和国外先进标准，以及与国内外同类标准水平的对比情况</w:t>
      </w:r>
    </w:p>
    <w:p>
      <w:pPr>
        <w:keepNext w:val="0"/>
        <w:keepLines w:val="0"/>
        <w:pageBreakBefore w:val="0"/>
        <w:kinsoku/>
        <w:wordWrap/>
        <w:overflowPunct/>
        <w:topLinePunct w:val="0"/>
        <w:bidi w:val="0"/>
        <w:snapToGrid/>
        <w:spacing w:line="360" w:lineRule="auto"/>
        <w:ind w:firstLine="480" w:firstLineChars="200"/>
        <w:textAlignment w:val="auto"/>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本标准严格遵循国家标准、行业标准在塑料大棚番茄生产方面的相关规定，同时也参考了部分国家标准和山西省地方标准的相关内容。</w:t>
      </w:r>
    </w:p>
    <w:p>
      <w:pPr>
        <w:keepNext w:val="0"/>
        <w:keepLines w:val="0"/>
        <w:pageBreakBefore w:val="0"/>
        <w:kinsoku/>
        <w:wordWrap/>
        <w:overflowPunct/>
        <w:topLinePunct w:val="0"/>
        <w:bidi w:val="0"/>
        <w:snapToGrid/>
        <w:spacing w:line="360" w:lineRule="auto"/>
        <w:ind w:firstLine="480" w:firstLineChars="200"/>
        <w:textAlignment w:val="auto"/>
        <w:rPr>
          <w:rFonts w:ascii="Times New Roman" w:hAnsi="Times New Roman" w:eastAsia="仿宋" w:cs="Times New Roman"/>
          <w:sz w:val="24"/>
          <w:szCs w:val="28"/>
        </w:rPr>
      </w:pPr>
      <w:r>
        <w:rPr>
          <w:rFonts w:ascii="Times New Roman" w:hAnsi="Times New Roman" w:eastAsia="仿宋" w:cs="Times New Roman"/>
          <w:sz w:val="24"/>
          <w:szCs w:val="28"/>
        </w:rPr>
        <w:t>1、本标准严格遵循国家标准、行业标准在</w:t>
      </w:r>
      <w:r>
        <w:rPr>
          <w:rFonts w:hint="eastAsia" w:ascii="Times New Roman" w:hAnsi="Times New Roman" w:eastAsia="仿宋" w:cs="Times New Roman"/>
          <w:sz w:val="24"/>
          <w:szCs w:val="28"/>
        </w:rPr>
        <w:t>番茄设施栽培中的茬口安排、品种选择与秧苗标准、整地施肥、定植、田间管理、采收及生产档案等</w:t>
      </w:r>
      <w:r>
        <w:rPr>
          <w:rFonts w:ascii="Times New Roman" w:hAnsi="Times New Roman" w:eastAsia="仿宋" w:cs="Times New Roman"/>
          <w:sz w:val="24"/>
          <w:szCs w:val="28"/>
        </w:rPr>
        <w:t>方面的相关规定。</w:t>
      </w:r>
    </w:p>
    <w:p>
      <w:pPr>
        <w:keepNext w:val="0"/>
        <w:keepLines w:val="0"/>
        <w:pageBreakBefore w:val="0"/>
        <w:kinsoku/>
        <w:wordWrap/>
        <w:overflowPunct/>
        <w:topLinePunct w:val="0"/>
        <w:bidi w:val="0"/>
        <w:snapToGrid/>
        <w:spacing w:line="360" w:lineRule="auto"/>
        <w:ind w:firstLine="480" w:firstLineChars="200"/>
        <w:textAlignment w:val="auto"/>
        <w:rPr>
          <w:rFonts w:ascii="Times New Roman" w:hAnsi="Times New Roman" w:eastAsia="仿宋" w:cs="Times New Roman"/>
          <w:sz w:val="24"/>
          <w:szCs w:val="28"/>
        </w:rPr>
      </w:pPr>
      <w:r>
        <w:rPr>
          <w:rFonts w:ascii="Times New Roman" w:hAnsi="Times New Roman" w:eastAsia="仿宋" w:cs="Times New Roman"/>
          <w:sz w:val="24"/>
          <w:szCs w:val="28"/>
        </w:rPr>
        <w:t>2、本标准属</w:t>
      </w:r>
      <w:r>
        <w:rPr>
          <w:rFonts w:hint="eastAsia" w:ascii="Times New Roman" w:hAnsi="Times New Roman" w:eastAsia="仿宋" w:cs="Times New Roman"/>
          <w:sz w:val="24"/>
          <w:szCs w:val="28"/>
          <w:lang w:eastAsia="zh-CN"/>
        </w:rPr>
        <w:t>修订后</w:t>
      </w:r>
      <w:r>
        <w:rPr>
          <w:rFonts w:hint="eastAsia" w:ascii="Times New Roman" w:hAnsi="Times New Roman" w:eastAsia="仿宋" w:cs="Times New Roman"/>
          <w:sz w:val="24"/>
          <w:szCs w:val="28"/>
        </w:rPr>
        <w:t>塑料大棚番茄高效固碳生产技术规程</w:t>
      </w:r>
      <w:r>
        <w:rPr>
          <w:rFonts w:ascii="Times New Roman" w:hAnsi="Times New Roman" w:eastAsia="仿宋" w:cs="Times New Roman"/>
          <w:sz w:val="24"/>
          <w:szCs w:val="28"/>
        </w:rPr>
        <w:t>。</w:t>
      </w:r>
    </w:p>
    <w:p>
      <w:pPr>
        <w:keepNext w:val="0"/>
        <w:keepLines w:val="0"/>
        <w:pageBreakBefore w:val="0"/>
        <w:kinsoku/>
        <w:wordWrap/>
        <w:overflowPunct/>
        <w:topLinePunct w:val="0"/>
        <w:bidi w:val="0"/>
        <w:snapToGrid/>
        <w:spacing w:line="360" w:lineRule="auto"/>
        <w:ind w:firstLine="480" w:firstLineChars="200"/>
        <w:textAlignment w:val="auto"/>
        <w:rPr>
          <w:rFonts w:ascii="Times New Roman" w:hAnsi="Times New Roman" w:eastAsia="仿宋" w:cs="Times New Roman"/>
          <w:sz w:val="24"/>
          <w:szCs w:val="28"/>
        </w:rPr>
      </w:pPr>
      <w:r>
        <w:rPr>
          <w:rFonts w:ascii="Times New Roman" w:hAnsi="Times New Roman" w:eastAsia="仿宋" w:cs="Times New Roman"/>
          <w:sz w:val="24"/>
          <w:szCs w:val="28"/>
        </w:rPr>
        <w:t>3、本标准详细制定了</w:t>
      </w:r>
      <w:r>
        <w:rPr>
          <w:rFonts w:hint="eastAsia" w:ascii="Times New Roman" w:hAnsi="Times New Roman" w:eastAsia="仿宋" w:cs="Times New Roman"/>
          <w:sz w:val="24"/>
          <w:szCs w:val="28"/>
        </w:rPr>
        <w:t>塑料大棚番茄生产CO</w:t>
      </w:r>
      <w:r>
        <w:rPr>
          <w:rFonts w:hint="eastAsia" w:ascii="Times New Roman" w:hAnsi="Times New Roman" w:eastAsia="仿宋" w:cs="Times New Roman"/>
          <w:sz w:val="24"/>
          <w:szCs w:val="28"/>
          <w:vertAlign w:val="subscript"/>
        </w:rPr>
        <w:t>2</w:t>
      </w:r>
      <w:r>
        <w:rPr>
          <w:rFonts w:hint="eastAsia" w:ascii="Times New Roman" w:hAnsi="Times New Roman" w:eastAsia="仿宋" w:cs="Times New Roman"/>
          <w:sz w:val="24"/>
          <w:szCs w:val="28"/>
        </w:rPr>
        <w:t>施肥方式、施肥时间与时期、施用浓度，并提出了富碳条件下番茄水、肥、温度及光照管理模式</w:t>
      </w:r>
      <w:r>
        <w:rPr>
          <w:rFonts w:ascii="Times New Roman" w:hAnsi="Times New Roman" w:eastAsia="仿宋" w:cs="Times New Roman"/>
          <w:sz w:val="24"/>
          <w:szCs w:val="28"/>
        </w:rPr>
        <w:t>等主要技术环节。</w:t>
      </w:r>
    </w:p>
    <w:p>
      <w:pPr>
        <w:keepNext w:val="0"/>
        <w:keepLines w:val="0"/>
        <w:pageBreakBefore w:val="0"/>
        <w:kinsoku/>
        <w:wordWrap/>
        <w:overflowPunct/>
        <w:topLinePunct w:val="0"/>
        <w:bidi w:val="0"/>
        <w:snapToGrid/>
        <w:spacing w:line="360" w:lineRule="auto"/>
        <w:ind w:firstLine="480" w:firstLineChars="200"/>
        <w:textAlignment w:val="auto"/>
        <w:rPr>
          <w:rFonts w:ascii="Times New Roman" w:hAnsi="Times New Roman" w:eastAsia="仿宋" w:cs="Times New Roman"/>
          <w:sz w:val="24"/>
          <w:szCs w:val="28"/>
        </w:rPr>
      </w:pPr>
      <w:r>
        <w:rPr>
          <w:rFonts w:ascii="Times New Roman" w:hAnsi="Times New Roman" w:eastAsia="仿宋" w:cs="Times New Roman"/>
          <w:sz w:val="24"/>
          <w:szCs w:val="28"/>
        </w:rPr>
        <w:t>4、本标准注重可操作性，简单易行。</w:t>
      </w:r>
    </w:p>
    <w:p>
      <w:pPr>
        <w:spacing w:line="360" w:lineRule="auto"/>
        <w:ind w:firstLine="480" w:firstLineChars="200"/>
        <w:outlineLvl w:val="0"/>
        <w:rPr>
          <w:rFonts w:ascii="Times New Roman" w:hAnsi="Times New Roman" w:eastAsia="仿宋" w:cs="Times New Roman"/>
          <w:sz w:val="24"/>
          <w:szCs w:val="28"/>
        </w:rPr>
      </w:pPr>
      <w:r>
        <w:rPr>
          <w:rFonts w:hint="eastAsia" w:ascii="仿宋_GB2312" w:hAnsi="宋体" w:eastAsia="仿宋_GB2312"/>
          <w:sz w:val="24"/>
          <w:highlight w:val="none"/>
        </w:rPr>
        <w:t>与国内同类标准相比，具有一定的先进性。</w:t>
      </w:r>
      <w:r>
        <w:rPr>
          <w:rFonts w:hint="eastAsia" w:ascii="仿宋_GB2312" w:hAnsi="宋体" w:eastAsia="仿宋_GB2312"/>
          <w:sz w:val="24"/>
          <w:highlight w:val="none"/>
          <w:lang w:val="en-US" w:eastAsia="zh-CN"/>
        </w:rPr>
        <w:t>本标准的条款设置和技术要求采用了国家的有关规定，并结合了塑料大棚番茄高效固碳生产的实际情况，适应广大塑料大棚番茄生产的需求。因此，本标准为国内领先。</w:t>
      </w:r>
    </w:p>
    <w:p>
      <w:pPr>
        <w:spacing w:line="360" w:lineRule="auto"/>
        <w:ind w:firstLine="480" w:firstLineChars="200"/>
        <w:outlineLvl w:val="0"/>
        <w:rPr>
          <w:rFonts w:ascii="Times New Roman" w:hAnsi="Times New Roman" w:eastAsia="黑体" w:cs="Times New Roman"/>
          <w:sz w:val="24"/>
        </w:rPr>
      </w:pPr>
      <w:r>
        <w:rPr>
          <w:rFonts w:hint="eastAsia" w:ascii="Times New Roman" w:hAnsi="Times New Roman" w:eastAsia="黑体" w:cs="Times New Roman"/>
          <w:sz w:val="24"/>
        </w:rPr>
        <w:t>八</w:t>
      </w:r>
      <w:r>
        <w:rPr>
          <w:rFonts w:hint="eastAsia" w:ascii="Times New Roman" w:hAnsi="Times New Roman" w:eastAsia="黑体" w:cs="Times New Roman"/>
          <w:sz w:val="24"/>
          <w:lang w:eastAsia="zh-CN"/>
        </w:rPr>
        <w:t>、</w:t>
      </w:r>
      <w:r>
        <w:rPr>
          <w:rFonts w:hint="eastAsia" w:ascii="Times New Roman" w:hAnsi="Times New Roman" w:eastAsia="黑体" w:cs="Times New Roman"/>
          <w:sz w:val="24"/>
          <w:szCs w:val="24"/>
        </w:rPr>
        <w:t>作为推荐性标准或者强制性标准的建议及其理由。</w:t>
      </w:r>
    </w:p>
    <w:p>
      <w:pPr>
        <w:spacing w:line="360" w:lineRule="auto"/>
        <w:ind w:firstLine="480" w:firstLineChars="200"/>
        <w:jc w:val="left"/>
        <w:rPr>
          <w:rFonts w:hint="eastAsia" w:ascii="Times New Roman" w:hAnsi="Times New Roman" w:eastAsia="仿宋_GB2312" w:cs="Times New Roman"/>
          <w:sz w:val="24"/>
          <w:highlight w:val="cyan"/>
          <w:lang w:eastAsia="zh-CN"/>
        </w:rPr>
      </w:pPr>
      <w:r>
        <w:rPr>
          <w:rFonts w:ascii="Times New Roman" w:hAnsi="Times New Roman" w:eastAsia="仿宋_GB2312" w:cs="Times New Roman"/>
          <w:sz w:val="24"/>
        </w:rPr>
        <w:t>建议本标准为推荐性标准</w:t>
      </w:r>
      <w:r>
        <w:rPr>
          <w:rFonts w:hint="eastAsia" w:ascii="Times New Roman" w:hAnsi="Times New Roman" w:eastAsia="仿宋_GB2312" w:cs="Times New Roman"/>
          <w:sz w:val="24"/>
          <w:lang w:eastAsia="zh-CN"/>
        </w:rPr>
        <w:t>。</w:t>
      </w:r>
    </w:p>
    <w:p>
      <w:pPr>
        <w:spacing w:line="360" w:lineRule="auto"/>
        <w:ind w:firstLine="480" w:firstLineChars="200"/>
        <w:outlineLvl w:val="0"/>
        <w:rPr>
          <w:rFonts w:ascii="Times New Roman" w:hAnsi="Times New Roman" w:eastAsia="黑体" w:cs="Times New Roman"/>
          <w:sz w:val="24"/>
        </w:rPr>
      </w:pPr>
      <w:r>
        <w:rPr>
          <w:rFonts w:hint="eastAsia" w:ascii="Times New Roman" w:hAnsi="Times New Roman" w:eastAsia="黑体" w:cs="Times New Roman"/>
          <w:sz w:val="24"/>
        </w:rPr>
        <w:t>九</w:t>
      </w:r>
      <w:r>
        <w:rPr>
          <w:rFonts w:ascii="Times New Roman" w:hAnsi="Times New Roman" w:eastAsia="黑体" w:cs="Times New Roman"/>
          <w:sz w:val="24"/>
        </w:rPr>
        <w:t>、</w:t>
      </w:r>
      <w:r>
        <w:rPr>
          <w:rFonts w:hint="eastAsia" w:ascii="Times New Roman" w:hAnsi="Times New Roman" w:eastAsia="黑体" w:cs="Times New Roman"/>
          <w:sz w:val="24"/>
        </w:rPr>
        <w:t>实施</w:t>
      </w:r>
      <w:r>
        <w:rPr>
          <w:rFonts w:ascii="Times New Roman" w:hAnsi="Times New Roman" w:eastAsia="黑体" w:cs="Times New Roman"/>
          <w:sz w:val="24"/>
        </w:rPr>
        <w:t>标准的措施建议</w:t>
      </w:r>
    </w:p>
    <w:p>
      <w:pPr>
        <w:spacing w:line="360" w:lineRule="auto"/>
        <w:ind w:firstLine="480" w:firstLineChars="200"/>
        <w:jc w:val="left"/>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rPr>
        <w:t>1、</w:t>
      </w:r>
      <w:r>
        <w:rPr>
          <w:rFonts w:hint="eastAsia" w:ascii="Times New Roman" w:hAnsi="Times New Roman" w:eastAsia="仿宋_GB2312" w:cs="Times New Roman"/>
          <w:sz w:val="24"/>
          <w:lang w:val="en-US" w:eastAsia="zh-CN"/>
        </w:rPr>
        <w:t>推广措施：</w:t>
      </w:r>
    </w:p>
    <w:p>
      <w:pPr>
        <w:spacing w:line="360" w:lineRule="auto"/>
        <w:ind w:firstLine="480" w:firstLineChars="200"/>
        <w:jc w:val="left"/>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加大媒体宣传力度 把标准的实施作为提升山西省设施蔬菜高效固碳栽培技术水平的重要推手，作为山西省蔬菜产业技术体系重点工作，在“山西农业网蔬菜子网”、“山西蔬菜微信”等媒体开辟专栏，在国内主要蔬菜期刊、杂志和报纸上对标准进行专题介绍和宣传，将该技术标准普及到基层生产企业和农民手中。</w:t>
      </w:r>
    </w:p>
    <w:p>
      <w:pPr>
        <w:spacing w:line="360" w:lineRule="auto"/>
        <w:ind w:firstLine="480" w:firstLineChars="200"/>
        <w:jc w:val="left"/>
        <w:rPr>
          <w:rFonts w:hint="default" w:ascii="Times New Roman" w:hAnsi="Times New Roman" w:eastAsia="仿宋_GB2312" w:cs="Times New Roman"/>
          <w:sz w:val="24"/>
          <w:lang w:val="en-US" w:eastAsia="zh-CN"/>
        </w:rPr>
      </w:pPr>
      <w:r>
        <w:rPr>
          <w:rFonts w:hint="eastAsia" w:eastAsia="仿宋_GB2312" w:cs="Times New Roman"/>
          <w:sz w:val="24"/>
          <w:lang w:val="en-US" w:eastAsia="zh-CN"/>
        </w:rPr>
        <w:t>2</w:t>
      </w:r>
      <w:r>
        <w:rPr>
          <w:rFonts w:hint="eastAsia" w:ascii="Times New Roman" w:hAnsi="Times New Roman" w:eastAsia="仿宋_GB2312" w:cs="Times New Roman"/>
          <w:sz w:val="24"/>
        </w:rPr>
        <w:t>、</w:t>
      </w:r>
      <w:r>
        <w:rPr>
          <w:rFonts w:hint="eastAsia" w:ascii="Times New Roman" w:hAnsi="Times New Roman" w:eastAsia="仿宋_GB2312" w:cs="Times New Roman"/>
          <w:sz w:val="24"/>
          <w:lang w:val="en-US" w:eastAsia="zh-CN"/>
        </w:rPr>
        <w:t>试点示范：</w:t>
      </w:r>
    </w:p>
    <w:p>
      <w:pPr>
        <w:spacing w:line="360" w:lineRule="auto"/>
        <w:ind w:firstLine="480" w:firstLineChars="200"/>
        <w:jc w:val="left"/>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建立标准化示范园 通过在山西省境内主要蔬菜园区和合作社建立该标准示范点，树立样板，奖励典型，以点带面，推进本标准的广泛实施。</w:t>
      </w:r>
    </w:p>
    <w:p>
      <w:pPr>
        <w:pStyle w:val="5"/>
        <w:spacing w:after="0" w:line="360" w:lineRule="auto"/>
        <w:ind w:firstLine="480" w:firstLineChars="200"/>
        <w:rPr>
          <w:rFonts w:hint="eastAsia" w:ascii="仿宋_GB2312" w:hAnsi="宋体" w:eastAsia="仿宋_GB2312"/>
          <w:sz w:val="24"/>
          <w:lang w:eastAsia="zh-CN"/>
        </w:rPr>
      </w:pPr>
      <w:r>
        <w:rPr>
          <w:rFonts w:hint="eastAsia" w:ascii="仿宋_GB2312" w:hAnsi="宋体" w:eastAsia="仿宋_GB2312"/>
          <w:sz w:val="24"/>
          <w:lang w:val="en-US" w:eastAsia="zh-CN"/>
        </w:rPr>
        <w:t>3</w:t>
      </w:r>
      <w:r>
        <w:rPr>
          <w:rFonts w:hint="eastAsia" w:ascii="仿宋_GB2312" w:hAnsi="宋体" w:eastAsia="仿宋_GB2312"/>
          <w:sz w:val="24"/>
          <w:lang w:eastAsia="zh-CN"/>
        </w:rPr>
        <w:t>、</w:t>
      </w:r>
      <w:r>
        <w:rPr>
          <w:rFonts w:ascii="仿宋_GB2312" w:hAnsi="宋体" w:eastAsia="仿宋_GB2312"/>
          <w:sz w:val="24"/>
        </w:rPr>
        <w:t>宣贯</w:t>
      </w:r>
      <w:r>
        <w:rPr>
          <w:rFonts w:hint="eastAsia" w:ascii="仿宋_GB2312" w:hAnsi="宋体" w:eastAsia="仿宋_GB2312"/>
          <w:sz w:val="24"/>
        </w:rPr>
        <w:t>培训</w:t>
      </w:r>
      <w:r>
        <w:rPr>
          <w:rFonts w:hint="eastAsia" w:ascii="仿宋_GB2312" w:hAnsi="宋体" w:eastAsia="仿宋_GB2312"/>
          <w:sz w:val="24"/>
          <w:lang w:eastAsia="zh-CN"/>
        </w:rPr>
        <w:t>：</w:t>
      </w:r>
    </w:p>
    <w:p>
      <w:pPr>
        <w:autoSpaceDE w:val="0"/>
        <w:autoSpaceDN w:val="0"/>
        <w:adjustRightInd w:val="0"/>
        <w:spacing w:line="360" w:lineRule="auto"/>
        <w:ind w:firstLine="480" w:firstLineChars="200"/>
        <w:jc w:val="left"/>
        <w:rPr>
          <w:rFonts w:hint="default" w:ascii="Times New Roman" w:hAnsi="Times New Roman" w:eastAsia="仿宋_GB2312" w:cs="Times New Roman"/>
          <w:sz w:val="24"/>
          <w:lang w:val="en-US" w:eastAsia="zh-CN"/>
        </w:rPr>
      </w:pPr>
      <w:r>
        <w:rPr>
          <w:rFonts w:hint="eastAsia" w:ascii="仿宋_GB2312" w:hAnsi="宋体" w:eastAsia="仿宋_GB2312"/>
          <w:sz w:val="24"/>
        </w:rPr>
        <w:t>在本标准发布实施初期，在各个示范点进行</w:t>
      </w:r>
      <w:r>
        <w:rPr>
          <w:rFonts w:eastAsia="仿宋_GB2312"/>
          <w:sz w:val="24"/>
        </w:rPr>
        <w:t>CO</w:t>
      </w:r>
      <w:r>
        <w:rPr>
          <w:rFonts w:eastAsia="仿宋_GB2312"/>
          <w:sz w:val="24"/>
          <w:vertAlign w:val="subscript"/>
        </w:rPr>
        <w:t>2</w:t>
      </w:r>
      <w:r>
        <w:rPr>
          <w:rFonts w:hint="eastAsia" w:ascii="仿宋_GB2312" w:hAnsi="宋体" w:eastAsia="仿宋_GB2312"/>
          <w:sz w:val="24"/>
        </w:rPr>
        <w:t>施肥标准化技术人员的培训及现场指导，做好技术示范，深入指导，确保技术进村入户。</w:t>
      </w:r>
    </w:p>
    <w:p>
      <w:pPr>
        <w:spacing w:line="360" w:lineRule="auto"/>
        <w:ind w:firstLine="480" w:firstLineChars="200"/>
        <w:jc w:val="left"/>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br w:type="page"/>
      </w:r>
    </w:p>
    <w:p>
      <w:pPr>
        <w:spacing w:line="360" w:lineRule="auto"/>
        <w:ind w:firstLine="480" w:firstLineChars="200"/>
        <w:jc w:val="left"/>
        <w:rPr>
          <w:rFonts w:hint="eastAsia" w:ascii="Times New Roman" w:hAnsi="Times New Roman" w:eastAsia="仿宋_GB2312" w:cs="Times New Roman"/>
          <w:sz w:val="24"/>
          <w:lang w:val="en-US" w:eastAsia="zh-CN"/>
        </w:rPr>
        <w:sectPr>
          <w:footerReference r:id="rId3" w:type="default"/>
          <w:pgSz w:w="11906" w:h="16838"/>
          <w:pgMar w:top="1440" w:right="1803" w:bottom="1440" w:left="1803" w:header="851" w:footer="992" w:gutter="0"/>
          <w:pgNumType w:start="1"/>
          <w:cols w:space="0" w:num="1"/>
          <w:titlePg/>
          <w:rtlGutter w:val="0"/>
          <w:docGrid w:type="lines" w:linePitch="319" w:charSpace="0"/>
        </w:sectPr>
      </w:pPr>
    </w:p>
    <w:p>
      <w:pPr>
        <w:spacing w:line="360" w:lineRule="auto"/>
        <w:ind w:firstLine="480" w:firstLineChars="200"/>
        <w:jc w:val="left"/>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附表</w:t>
      </w:r>
    </w:p>
    <w:p>
      <w:pPr>
        <w:spacing w:line="360" w:lineRule="auto"/>
        <w:jc w:val="center"/>
        <w:rPr>
          <w:rFonts w:hint="eastAsia" w:ascii="Times New Roman" w:hAnsi="Times New Roman" w:eastAsia="仿宋_GB2312" w:cs="Times New Roman"/>
          <w:b/>
          <w:bCs/>
          <w:sz w:val="24"/>
          <w:lang w:val="en-US" w:eastAsia="zh-CN"/>
        </w:rPr>
      </w:pPr>
      <w:r>
        <w:rPr>
          <w:rFonts w:hint="eastAsia" w:ascii="Times New Roman" w:hAnsi="Times New Roman" w:eastAsia="仿宋" w:cs="Times New Roman"/>
          <w:b/>
          <w:sz w:val="24"/>
          <w:szCs w:val="28"/>
        </w:rPr>
        <w:t>塑料大棚番茄高效固碳生产技术规程</w:t>
      </w:r>
      <w:r>
        <w:rPr>
          <w:rFonts w:hint="eastAsia" w:ascii="Times New Roman" w:hAnsi="Times New Roman" w:eastAsia="仿宋_GB2312" w:cs="Times New Roman"/>
          <w:b/>
          <w:bCs/>
          <w:sz w:val="24"/>
          <w:lang w:val="en-US" w:eastAsia="zh-CN"/>
        </w:rPr>
        <w:t>地方标准征求意见汇总处理表</w:t>
      </w:r>
    </w:p>
    <w:p>
      <w:pPr>
        <w:ind w:firstLine="240" w:firstLineChars="100"/>
        <w:jc w:val="left"/>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 xml:space="preserve">起草单位：山西农业大学园艺学院        承办人：郑少文        联系电话：13513544836       填写时间：2024.1.16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2"/>
        <w:gridCol w:w="2362"/>
        <w:gridCol w:w="2362"/>
        <w:gridCol w:w="2596"/>
        <w:gridCol w:w="2129"/>
        <w:gridCol w:w="2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序号</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标准章条编号</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意见内容</w:t>
            </w:r>
          </w:p>
        </w:tc>
        <w:tc>
          <w:tcPr>
            <w:tcW w:w="2596"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提出单位</w:t>
            </w:r>
          </w:p>
        </w:tc>
        <w:tc>
          <w:tcPr>
            <w:tcW w:w="2129"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处理意见</w:t>
            </w:r>
          </w:p>
        </w:tc>
        <w:tc>
          <w:tcPr>
            <w:tcW w:w="2363"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意见处理说明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1</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题目</w:t>
            </w:r>
          </w:p>
        </w:tc>
        <w:tc>
          <w:tcPr>
            <w:tcW w:w="2362" w:type="dxa"/>
            <w:vAlign w:val="center"/>
          </w:tcPr>
          <w:p>
            <w:pPr>
              <w:pStyle w:val="29"/>
              <w:widowControl w:val="0"/>
              <w:numPr>
                <w:ilvl w:val="0"/>
                <w:numId w:val="0"/>
              </w:numPr>
              <w:jc w:val="both"/>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kern w:val="2"/>
                <w:sz w:val="21"/>
                <w:szCs w:val="21"/>
                <w:vertAlign w:val="baseline"/>
                <w:lang w:val="en-US" w:eastAsia="zh-CN" w:bidi="ar-SA"/>
              </w:rPr>
              <w:t>“塑料大棚番茄高效固碳栽培技术规程”修改为“塑料大棚番茄高效固碳生产技术规程”</w:t>
            </w:r>
          </w:p>
        </w:tc>
        <w:tc>
          <w:tcPr>
            <w:tcW w:w="2596"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bCs/>
                <w:sz w:val="21"/>
                <w:szCs w:val="21"/>
                <w:lang w:val="en-US" w:eastAsia="zh-CN"/>
              </w:rPr>
              <w:t>山西省园艺产业发展中心</w:t>
            </w:r>
          </w:p>
        </w:tc>
        <w:tc>
          <w:tcPr>
            <w:tcW w:w="2129"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采纳</w:t>
            </w:r>
          </w:p>
        </w:tc>
        <w:tc>
          <w:tcPr>
            <w:tcW w:w="2363" w:type="dxa"/>
          </w:tcPr>
          <w:p>
            <w:pPr>
              <w:jc w:val="left"/>
              <w:rPr>
                <w:rFonts w:hint="default" w:ascii="Times New Roman" w:hAnsi="Times New Roman" w:eastAsia="仿宋_GB2312" w:cs="Times New Roman"/>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2</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1</w:t>
            </w:r>
          </w:p>
        </w:tc>
        <w:tc>
          <w:tcPr>
            <w:tcW w:w="2362" w:type="dxa"/>
            <w:vAlign w:val="center"/>
          </w:tcPr>
          <w:p>
            <w:pPr>
              <w:jc w:val="both"/>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范围部分增加了“田间管理”，删除了“环境调控”、“水肥管理”、“植株调整”、“CO</w:t>
            </w:r>
            <w:r>
              <w:rPr>
                <w:rFonts w:hint="eastAsia" w:ascii="Times New Roman" w:hAnsi="Times New Roman" w:eastAsia="仿宋_GB2312" w:cs="Times New Roman"/>
                <w:sz w:val="21"/>
                <w:szCs w:val="21"/>
                <w:vertAlign w:val="subscript"/>
                <w:lang w:val="en-US" w:eastAsia="zh-CN"/>
              </w:rPr>
              <w:t>2</w:t>
            </w:r>
            <w:r>
              <w:rPr>
                <w:rFonts w:hint="eastAsia" w:ascii="Times New Roman" w:hAnsi="Times New Roman" w:eastAsia="仿宋_GB2312" w:cs="Times New Roman"/>
                <w:sz w:val="21"/>
                <w:szCs w:val="21"/>
                <w:vertAlign w:val="baseline"/>
                <w:lang w:val="en-US" w:eastAsia="zh-CN"/>
              </w:rPr>
              <w:t>施肥”。</w:t>
            </w:r>
          </w:p>
        </w:tc>
        <w:tc>
          <w:tcPr>
            <w:tcW w:w="2596"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bCs/>
                <w:sz w:val="21"/>
                <w:szCs w:val="21"/>
                <w:lang w:val="en-US" w:eastAsia="zh-CN"/>
              </w:rPr>
              <w:t>山西省园艺产业发展中心</w:t>
            </w:r>
          </w:p>
        </w:tc>
        <w:tc>
          <w:tcPr>
            <w:tcW w:w="2129"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采纳</w:t>
            </w:r>
          </w:p>
        </w:tc>
        <w:tc>
          <w:tcPr>
            <w:tcW w:w="2363" w:type="dxa"/>
          </w:tcPr>
          <w:p>
            <w:pPr>
              <w:jc w:val="left"/>
              <w:rPr>
                <w:rFonts w:hint="default" w:ascii="Times New Roman" w:hAnsi="Times New Roman" w:eastAsia="仿宋_GB2312" w:cs="Times New Roman"/>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3</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8</w:t>
            </w:r>
          </w:p>
        </w:tc>
        <w:tc>
          <w:tcPr>
            <w:tcW w:w="2362" w:type="dxa"/>
            <w:vAlign w:val="center"/>
          </w:tcPr>
          <w:p>
            <w:pPr>
              <w:jc w:val="both"/>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规范田间管理部分</w:t>
            </w:r>
          </w:p>
        </w:tc>
        <w:tc>
          <w:tcPr>
            <w:tcW w:w="2596"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山西省蔬菜产业技术体系</w:t>
            </w:r>
          </w:p>
        </w:tc>
        <w:tc>
          <w:tcPr>
            <w:tcW w:w="2129"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采纳</w:t>
            </w:r>
          </w:p>
        </w:tc>
        <w:tc>
          <w:tcPr>
            <w:tcW w:w="2363" w:type="dxa"/>
          </w:tcPr>
          <w:p>
            <w:pPr>
              <w:jc w:val="left"/>
              <w:rPr>
                <w:rFonts w:hint="default" w:ascii="Times New Roman" w:hAnsi="Times New Roman" w:eastAsia="仿宋_GB2312" w:cs="Times New Roman"/>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4</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8.</w:t>
            </w:r>
            <w:r>
              <w:rPr>
                <w:rFonts w:hint="eastAsia" w:ascii="Times New Roman" w:hAnsi="Times New Roman" w:eastAsia="仿宋_GB2312" w:cs="Times New Roman"/>
                <w:sz w:val="21"/>
                <w:szCs w:val="21"/>
                <w:vertAlign w:val="baseline"/>
                <w:lang w:val="en-US" w:eastAsia="zh-CN"/>
              </w:rPr>
              <w:t>2</w:t>
            </w:r>
          </w:p>
        </w:tc>
        <w:tc>
          <w:tcPr>
            <w:tcW w:w="2362"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更改“</w:t>
            </w:r>
            <w:r>
              <w:rPr>
                <w:rFonts w:hint="eastAsia" w:ascii="Times New Roman" w:hAnsi="Times New Roman" w:eastAsia="仿宋_GB2312" w:cs="Times New Roman"/>
                <w:sz w:val="21"/>
                <w:szCs w:val="21"/>
                <w:vertAlign w:val="baseline"/>
                <w:lang w:val="en-US" w:eastAsia="zh-CN"/>
              </w:rPr>
              <w:t>水肥一体化</w:t>
            </w:r>
            <w:r>
              <w:rPr>
                <w:rFonts w:hint="default" w:ascii="Times New Roman" w:hAnsi="Times New Roman" w:eastAsia="仿宋_GB2312" w:cs="Times New Roman"/>
                <w:sz w:val="21"/>
                <w:szCs w:val="21"/>
                <w:vertAlign w:val="baseline"/>
                <w:lang w:val="en-US" w:eastAsia="zh-CN"/>
              </w:rPr>
              <w:t>”内容</w:t>
            </w:r>
          </w:p>
        </w:tc>
        <w:tc>
          <w:tcPr>
            <w:tcW w:w="2596"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bCs/>
                <w:sz w:val="21"/>
                <w:szCs w:val="21"/>
                <w:lang w:val="en-US" w:eastAsia="zh-CN"/>
              </w:rPr>
              <w:t>山西省晋城市泽州县蔬菜事业服务中心</w:t>
            </w:r>
          </w:p>
        </w:tc>
        <w:tc>
          <w:tcPr>
            <w:tcW w:w="2129"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采纳</w:t>
            </w:r>
          </w:p>
        </w:tc>
        <w:tc>
          <w:tcPr>
            <w:tcW w:w="2363" w:type="dxa"/>
          </w:tcPr>
          <w:p>
            <w:pPr>
              <w:jc w:val="left"/>
              <w:rPr>
                <w:rFonts w:hint="default" w:ascii="Times New Roman" w:hAnsi="Times New Roman" w:eastAsia="仿宋_GB2312" w:cs="Times New Roman"/>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5</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8.</w:t>
            </w:r>
            <w:r>
              <w:rPr>
                <w:rFonts w:hint="eastAsia" w:ascii="Times New Roman" w:hAnsi="Times New Roman" w:eastAsia="仿宋_GB2312" w:cs="Times New Roman"/>
                <w:sz w:val="21"/>
                <w:szCs w:val="21"/>
                <w:vertAlign w:val="baseline"/>
                <w:lang w:val="en-US" w:eastAsia="zh-CN"/>
              </w:rPr>
              <w:t>3</w:t>
            </w:r>
          </w:p>
        </w:tc>
        <w:tc>
          <w:tcPr>
            <w:tcW w:w="2362"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进一步完善“植株调整”内容</w:t>
            </w:r>
          </w:p>
        </w:tc>
        <w:tc>
          <w:tcPr>
            <w:tcW w:w="2596"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山西省运城市新绛县蔬菜</w:t>
            </w:r>
            <w:r>
              <w:rPr>
                <w:rFonts w:hint="eastAsia" w:ascii="Times New Roman" w:hAnsi="Times New Roman" w:eastAsia="仿宋_GB2312" w:cs="Times New Roman"/>
                <w:sz w:val="21"/>
                <w:szCs w:val="21"/>
                <w:vertAlign w:val="baseline"/>
                <w:lang w:val="en-US" w:eastAsia="zh-CN"/>
              </w:rPr>
              <w:t>发展</w:t>
            </w:r>
            <w:r>
              <w:rPr>
                <w:rFonts w:hint="default" w:ascii="Times New Roman" w:hAnsi="Times New Roman" w:eastAsia="仿宋_GB2312" w:cs="Times New Roman"/>
                <w:sz w:val="21"/>
                <w:szCs w:val="21"/>
                <w:vertAlign w:val="baseline"/>
                <w:lang w:val="en-US" w:eastAsia="zh-CN"/>
              </w:rPr>
              <w:t>中心</w:t>
            </w:r>
          </w:p>
        </w:tc>
        <w:tc>
          <w:tcPr>
            <w:tcW w:w="2129"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采纳</w:t>
            </w:r>
          </w:p>
        </w:tc>
        <w:tc>
          <w:tcPr>
            <w:tcW w:w="2363" w:type="dxa"/>
          </w:tcPr>
          <w:p>
            <w:pPr>
              <w:jc w:val="left"/>
              <w:rPr>
                <w:rFonts w:hint="default" w:ascii="Times New Roman" w:hAnsi="Times New Roman" w:eastAsia="仿宋_GB2312" w:cs="Times New Roman"/>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6</w:t>
            </w:r>
          </w:p>
        </w:tc>
        <w:tc>
          <w:tcPr>
            <w:tcW w:w="2362"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8.4.1</w:t>
            </w:r>
          </w:p>
        </w:tc>
        <w:tc>
          <w:tcPr>
            <w:tcW w:w="2362" w:type="dxa"/>
            <w:vAlign w:val="center"/>
          </w:tcPr>
          <w:p>
            <w:pPr>
              <w:jc w:val="both"/>
              <w:rPr>
                <w:rFonts w:hint="default" w:ascii="Times New Roman" w:hAnsi="Times New Roman" w:eastAsia="仿宋_GB2312" w:cs="Times New Roman"/>
                <w:sz w:val="21"/>
                <w:szCs w:val="21"/>
                <w:vertAlign w:val="baseline"/>
                <w:lang w:val="en-US" w:eastAsia="zh-CN"/>
              </w:rPr>
            </w:pPr>
            <w:r>
              <w:rPr>
                <w:rFonts w:hint="default" w:ascii="Times New Roman" w:hAnsi="Times New Roman" w:eastAsia="仿宋_GB2312" w:cs="Times New Roman"/>
                <w:sz w:val="21"/>
                <w:szCs w:val="21"/>
                <w:vertAlign w:val="baseline"/>
                <w:lang w:val="en-US" w:eastAsia="zh-CN"/>
              </w:rPr>
              <w:t>进一步完善“施</w:t>
            </w:r>
            <w:r>
              <w:rPr>
                <w:rFonts w:hint="eastAsia" w:ascii="Times New Roman" w:hAnsi="Times New Roman" w:eastAsia="仿宋_GB2312" w:cs="Times New Roman"/>
                <w:sz w:val="21"/>
                <w:szCs w:val="21"/>
                <w:vertAlign w:val="baseline"/>
                <w:lang w:val="en-US" w:eastAsia="zh-CN"/>
              </w:rPr>
              <w:t>用</w:t>
            </w:r>
            <w:r>
              <w:rPr>
                <w:rFonts w:hint="default" w:ascii="Times New Roman" w:hAnsi="Times New Roman" w:eastAsia="仿宋_GB2312" w:cs="Times New Roman"/>
                <w:sz w:val="21"/>
                <w:szCs w:val="21"/>
                <w:vertAlign w:val="baseline"/>
                <w:lang w:val="en-US" w:eastAsia="zh-CN"/>
              </w:rPr>
              <w:t>浓度”内容</w:t>
            </w:r>
          </w:p>
        </w:tc>
        <w:tc>
          <w:tcPr>
            <w:tcW w:w="2596" w:type="dxa"/>
            <w:vAlign w:val="center"/>
          </w:tcPr>
          <w:p>
            <w:pPr>
              <w:jc w:val="both"/>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太谷县卓越农人农业有限公司</w:t>
            </w:r>
          </w:p>
        </w:tc>
        <w:tc>
          <w:tcPr>
            <w:tcW w:w="2129" w:type="dxa"/>
            <w:vAlign w:val="center"/>
          </w:tcPr>
          <w:p>
            <w:pPr>
              <w:jc w:val="center"/>
              <w:rPr>
                <w:rFonts w:hint="default" w:ascii="Times New Roman" w:hAnsi="Times New Roman" w:eastAsia="仿宋_GB2312" w:cs="Times New Roman"/>
                <w:sz w:val="21"/>
                <w:szCs w:val="21"/>
                <w:vertAlign w:val="baseline"/>
                <w:lang w:val="en-US" w:eastAsia="zh-CN"/>
              </w:rPr>
            </w:pPr>
            <w:r>
              <w:rPr>
                <w:rFonts w:hint="eastAsia" w:ascii="Times New Roman" w:hAnsi="Times New Roman" w:eastAsia="仿宋_GB2312" w:cs="Times New Roman"/>
                <w:sz w:val="21"/>
                <w:szCs w:val="21"/>
                <w:vertAlign w:val="baseline"/>
                <w:lang w:val="en-US" w:eastAsia="zh-CN"/>
              </w:rPr>
              <w:t>采纳</w:t>
            </w:r>
          </w:p>
        </w:tc>
        <w:tc>
          <w:tcPr>
            <w:tcW w:w="2363" w:type="dxa"/>
          </w:tcPr>
          <w:p>
            <w:pPr>
              <w:jc w:val="left"/>
              <w:rPr>
                <w:rFonts w:hint="default" w:ascii="Times New Roman" w:hAnsi="Times New Roman" w:eastAsia="仿宋_GB2312" w:cs="Times New Roman"/>
                <w:sz w:val="24"/>
                <w:vertAlign w:val="baseline"/>
                <w:lang w:val="en-US" w:eastAsia="zh-CN"/>
              </w:rPr>
            </w:pPr>
          </w:p>
        </w:tc>
      </w:tr>
    </w:tbl>
    <w:p>
      <w:pPr>
        <w:jc w:val="left"/>
        <w:rPr>
          <w:rFonts w:hint="default" w:ascii="Times New Roman" w:hAnsi="Times New Roman" w:eastAsia="仿宋_GB2312" w:cs="Times New Roman"/>
          <w:color w:val="0000FF"/>
          <w:sz w:val="24"/>
          <w:lang w:val="en-US" w:eastAsia="zh-CN"/>
        </w:rPr>
      </w:pPr>
      <w:r>
        <w:rPr>
          <w:rFonts w:hint="eastAsia" w:ascii="Times New Roman" w:hAnsi="Times New Roman" w:cs="Times New Roman"/>
          <w:b w:val="0"/>
          <w:bCs w:val="0"/>
          <w:color w:val="000000"/>
          <w:sz w:val="18"/>
          <w:szCs w:val="18"/>
          <w:lang w:val="en-US" w:eastAsia="zh-CN"/>
        </w:rPr>
        <w:t>说明：</w:t>
      </w:r>
      <w:r>
        <w:rPr>
          <w:rFonts w:hint="eastAsia" w:ascii="Times New Roman" w:hAnsi="Times New Roman" w:eastAsia="宋体" w:cs="Times New Roman"/>
          <w:b w:val="0"/>
          <w:bCs w:val="0"/>
          <w:color w:val="000000"/>
          <w:sz w:val="18"/>
          <w:szCs w:val="18"/>
        </w:rPr>
        <w:t>发送征求意见稿单位数</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5  </w:t>
      </w:r>
      <w:r>
        <w:rPr>
          <w:rFonts w:hint="eastAsia" w:ascii="Times New Roman" w:hAnsi="Times New Roman" w:eastAsia="宋体" w:cs="Times New Roman"/>
          <w:b w:val="0"/>
          <w:bCs w:val="0"/>
          <w:color w:val="000000"/>
          <w:sz w:val="18"/>
          <w:szCs w:val="18"/>
        </w:rPr>
        <w:t>个；回到征求意见稿回函的单位数</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5  </w:t>
      </w:r>
      <w:r>
        <w:rPr>
          <w:rFonts w:hint="eastAsia" w:ascii="Times New Roman" w:hAnsi="Times New Roman" w:eastAsia="宋体" w:cs="Times New Roman"/>
          <w:b w:val="0"/>
          <w:bCs w:val="0"/>
          <w:color w:val="000000"/>
          <w:sz w:val="18"/>
          <w:szCs w:val="18"/>
        </w:rPr>
        <w:t>个；收到征求意见稿并提出意见的单位数</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5  </w:t>
      </w:r>
      <w:r>
        <w:rPr>
          <w:rFonts w:hint="eastAsia" w:ascii="Times New Roman" w:hAnsi="Times New Roman" w:eastAsia="宋体" w:cs="Times New Roman"/>
          <w:b w:val="0"/>
          <w:bCs w:val="0"/>
          <w:color w:val="000000"/>
          <w:sz w:val="18"/>
          <w:szCs w:val="18"/>
        </w:rPr>
        <w:t>个；没有回函的单位数</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0  </w:t>
      </w:r>
      <w:r>
        <w:rPr>
          <w:rFonts w:hint="eastAsia" w:ascii="Times New Roman" w:hAnsi="Times New Roman" w:eastAsia="宋体" w:cs="Times New Roman"/>
          <w:b w:val="0"/>
          <w:bCs w:val="0"/>
          <w:color w:val="000000"/>
          <w:sz w:val="18"/>
          <w:szCs w:val="18"/>
        </w:rPr>
        <w:t>个；共收到</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6  </w:t>
      </w:r>
      <w:r>
        <w:rPr>
          <w:rFonts w:hint="eastAsia" w:ascii="Times New Roman" w:hAnsi="Times New Roman" w:eastAsia="宋体" w:cs="Times New Roman"/>
          <w:b w:val="0"/>
          <w:bCs w:val="0"/>
          <w:color w:val="000000"/>
          <w:sz w:val="18"/>
          <w:szCs w:val="18"/>
        </w:rPr>
        <w:t>条意见，采纳</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6  </w:t>
      </w:r>
      <w:r>
        <w:rPr>
          <w:rFonts w:hint="eastAsia" w:ascii="Times New Roman" w:hAnsi="Times New Roman" w:eastAsia="宋体" w:cs="Times New Roman"/>
          <w:b w:val="0"/>
          <w:bCs w:val="0"/>
          <w:color w:val="000000"/>
          <w:sz w:val="18"/>
          <w:szCs w:val="18"/>
        </w:rPr>
        <w:t>条意见，部分采纳</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0  </w:t>
      </w:r>
      <w:r>
        <w:rPr>
          <w:rFonts w:hint="eastAsia" w:ascii="Times New Roman" w:hAnsi="Times New Roman" w:eastAsia="宋体" w:cs="Times New Roman"/>
          <w:b w:val="0"/>
          <w:bCs w:val="0"/>
          <w:color w:val="000000"/>
          <w:sz w:val="18"/>
          <w:szCs w:val="18"/>
        </w:rPr>
        <w:t>条意见，未采纳</w:t>
      </w:r>
      <w:r>
        <w:rPr>
          <w:rFonts w:hint="default" w:ascii="Times New Roman" w:hAnsi="Times New Roman" w:eastAsia="宋体" w:cs="Times New Roman"/>
          <w:b w:val="0"/>
          <w:bCs w:val="0"/>
          <w:color w:val="000000"/>
          <w:sz w:val="18"/>
          <w:szCs w:val="18"/>
          <w:u w:val="single"/>
        </w:rPr>
        <w:t xml:space="preserve"> </w:t>
      </w:r>
      <w:r>
        <w:rPr>
          <w:rFonts w:hint="eastAsia" w:ascii="Times New Roman" w:hAnsi="Times New Roman" w:cs="Times New Roman"/>
          <w:b w:val="0"/>
          <w:bCs w:val="0"/>
          <w:color w:val="000000"/>
          <w:sz w:val="18"/>
          <w:szCs w:val="18"/>
          <w:u w:val="single"/>
          <w:lang w:val="en-US" w:eastAsia="zh-CN"/>
        </w:rPr>
        <w:t xml:space="preserve"> 0  </w:t>
      </w:r>
      <w:r>
        <w:rPr>
          <w:rFonts w:hint="eastAsia" w:ascii="Times New Roman" w:hAnsi="Times New Roman" w:eastAsia="宋体" w:cs="Times New Roman"/>
          <w:b w:val="0"/>
          <w:bCs w:val="0"/>
          <w:color w:val="000000"/>
          <w:sz w:val="18"/>
          <w:szCs w:val="18"/>
        </w:rPr>
        <w:t>条意见。</w:t>
      </w:r>
      <w:r>
        <w:rPr>
          <w:rFonts w:hint="eastAsia" w:ascii="Times New Roman" w:hAnsi="Times New Roman" w:eastAsia="仿宋" w:cs="Times New Roman"/>
          <w:b/>
          <w:sz w:val="24"/>
          <w:szCs w:val="32"/>
          <w:lang w:val="en-US" w:eastAsia="zh-CN"/>
        </w:rPr>
        <w:t xml:space="preserve">                                                                                </w:t>
      </w:r>
    </w:p>
    <w:sectPr>
      <w:pgSz w:w="16838" w:h="11906" w:orient="landscape"/>
      <w:pgMar w:top="1803" w:right="1440" w:bottom="1803" w:left="1440" w:header="851" w:footer="992" w:gutter="0"/>
      <w:pgNumType w:start="1"/>
      <w:cols w:space="0" w:num="1"/>
      <w:titlePg/>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angal">
    <w:panose1 w:val="02040503050203030202"/>
    <w:charset w:val="01"/>
    <w:family w:val="roman"/>
    <w:pitch w:val="default"/>
    <w:sig w:usb0="00008003" w:usb1="00000000" w:usb2="00000000" w:usb3="00000000" w:csb0="00000001"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fldChar w:fldCharType="begin"/>
    </w:r>
    <w:r>
      <w:instrText xml:space="preserve">PAGE   \* MERGEFORMAT</w:instrText>
    </w:r>
    <w:r>
      <w:fldChar w:fldCharType="separate"/>
    </w:r>
    <w:r>
      <w:rPr>
        <w:lang w:val="zh-CN"/>
      </w:rPr>
      <w:t>2</w:t>
    </w:r>
    <w:r>
      <w:fldChar w:fldCharType="end"/>
    </w:r>
  </w:p>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79C81D7"/>
    <w:multiLevelType w:val="singleLevel"/>
    <w:tmpl w:val="E79C81D7"/>
    <w:lvl w:ilvl="0" w:tentative="0">
      <w:start w:val="4"/>
      <w:numFmt w:val="decimal"/>
      <w:suff w:val="nothing"/>
      <w:lvlText w:val="%1、"/>
      <w:lvlJc w:val="left"/>
    </w:lvl>
  </w:abstractNum>
  <w:abstractNum w:abstractNumId="1">
    <w:nsid w:val="02DF574C"/>
    <w:multiLevelType w:val="singleLevel"/>
    <w:tmpl w:val="02DF574C"/>
    <w:lvl w:ilvl="0" w:tentative="0">
      <w:start w:val="8"/>
      <w:numFmt w:val="decimal"/>
      <w:suff w:val="nothing"/>
      <w:lvlText w:val="%1、"/>
      <w:lvlJc w:val="left"/>
    </w:lvl>
  </w:abstractNum>
  <w:abstractNum w:abstractNumId="2">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9"/>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30"/>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1"/>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NotTrackMoves/>
  <w:documentProtection w:enforcement="0"/>
  <w:defaultTabStop w:val="420"/>
  <w:drawingGridHorizontalSpacing w:val="105"/>
  <w:drawingGridVerticalSpacing w:val="159"/>
  <w:displayHorizontalDrawingGridEvery w:val="1"/>
  <w:displayVerticalDrawingGridEvery w:val="2"/>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QxMzQ2NzQ3OTI2MzhiNGJlNGNhOTIyMzhjOTM5NDMifQ=="/>
  </w:docVars>
  <w:rsids>
    <w:rsidRoot w:val="00636FC5"/>
    <w:rsid w:val="00001C9C"/>
    <w:rsid w:val="00002121"/>
    <w:rsid w:val="00003D4E"/>
    <w:rsid w:val="0001430A"/>
    <w:rsid w:val="000173E8"/>
    <w:rsid w:val="000203B7"/>
    <w:rsid w:val="00021FC1"/>
    <w:rsid w:val="00024D73"/>
    <w:rsid w:val="00025BA5"/>
    <w:rsid w:val="00035FEB"/>
    <w:rsid w:val="000443C0"/>
    <w:rsid w:val="00045395"/>
    <w:rsid w:val="00045C4C"/>
    <w:rsid w:val="000471FB"/>
    <w:rsid w:val="00051B0A"/>
    <w:rsid w:val="00054BA0"/>
    <w:rsid w:val="00061514"/>
    <w:rsid w:val="00073F3B"/>
    <w:rsid w:val="000754B9"/>
    <w:rsid w:val="00080D84"/>
    <w:rsid w:val="00087B70"/>
    <w:rsid w:val="0009360F"/>
    <w:rsid w:val="0009699A"/>
    <w:rsid w:val="000974DE"/>
    <w:rsid w:val="000A23F9"/>
    <w:rsid w:val="000A281F"/>
    <w:rsid w:val="000B59DE"/>
    <w:rsid w:val="000C1548"/>
    <w:rsid w:val="000C203B"/>
    <w:rsid w:val="000C24FA"/>
    <w:rsid w:val="000C2F16"/>
    <w:rsid w:val="000C3919"/>
    <w:rsid w:val="000C5AE1"/>
    <w:rsid w:val="000C62FE"/>
    <w:rsid w:val="000D7E22"/>
    <w:rsid w:val="000E0029"/>
    <w:rsid w:val="000E0518"/>
    <w:rsid w:val="000E5DDF"/>
    <w:rsid w:val="00104D9E"/>
    <w:rsid w:val="001079E4"/>
    <w:rsid w:val="00114B28"/>
    <w:rsid w:val="00136B80"/>
    <w:rsid w:val="00140883"/>
    <w:rsid w:val="001422D2"/>
    <w:rsid w:val="00142DCA"/>
    <w:rsid w:val="001451F2"/>
    <w:rsid w:val="00153E55"/>
    <w:rsid w:val="00155235"/>
    <w:rsid w:val="0016381F"/>
    <w:rsid w:val="0016534D"/>
    <w:rsid w:val="001653E3"/>
    <w:rsid w:val="001657F4"/>
    <w:rsid w:val="00184DC2"/>
    <w:rsid w:val="00195264"/>
    <w:rsid w:val="001A0041"/>
    <w:rsid w:val="001A0916"/>
    <w:rsid w:val="001C0311"/>
    <w:rsid w:val="001C1B81"/>
    <w:rsid w:val="001C2BE8"/>
    <w:rsid w:val="001C3ACE"/>
    <w:rsid w:val="001D06C4"/>
    <w:rsid w:val="001D0957"/>
    <w:rsid w:val="001D7128"/>
    <w:rsid w:val="001E486F"/>
    <w:rsid w:val="001F695E"/>
    <w:rsid w:val="001F7C13"/>
    <w:rsid w:val="001F7CF9"/>
    <w:rsid w:val="0020132D"/>
    <w:rsid w:val="002042E4"/>
    <w:rsid w:val="00211530"/>
    <w:rsid w:val="00213570"/>
    <w:rsid w:val="00217A11"/>
    <w:rsid w:val="002216A8"/>
    <w:rsid w:val="00226A9A"/>
    <w:rsid w:val="00226FD3"/>
    <w:rsid w:val="00227FEE"/>
    <w:rsid w:val="00230DF6"/>
    <w:rsid w:val="00233658"/>
    <w:rsid w:val="00233B76"/>
    <w:rsid w:val="00243164"/>
    <w:rsid w:val="00243B8F"/>
    <w:rsid w:val="00243DA6"/>
    <w:rsid w:val="00243E19"/>
    <w:rsid w:val="00247BC6"/>
    <w:rsid w:val="002508ED"/>
    <w:rsid w:val="00252DE5"/>
    <w:rsid w:val="002606D8"/>
    <w:rsid w:val="00261187"/>
    <w:rsid w:val="00267EEC"/>
    <w:rsid w:val="00270C24"/>
    <w:rsid w:val="00273B1D"/>
    <w:rsid w:val="002746DC"/>
    <w:rsid w:val="00277378"/>
    <w:rsid w:val="00277EC1"/>
    <w:rsid w:val="0028564F"/>
    <w:rsid w:val="00285ABA"/>
    <w:rsid w:val="002B52FE"/>
    <w:rsid w:val="002B6A3E"/>
    <w:rsid w:val="002B7335"/>
    <w:rsid w:val="002C169F"/>
    <w:rsid w:val="002C3C6B"/>
    <w:rsid w:val="002D3E11"/>
    <w:rsid w:val="002E04E6"/>
    <w:rsid w:val="002E5A2F"/>
    <w:rsid w:val="003024F7"/>
    <w:rsid w:val="0031028C"/>
    <w:rsid w:val="003150DE"/>
    <w:rsid w:val="00315657"/>
    <w:rsid w:val="003158E5"/>
    <w:rsid w:val="003221E9"/>
    <w:rsid w:val="003259EC"/>
    <w:rsid w:val="00330396"/>
    <w:rsid w:val="003311E6"/>
    <w:rsid w:val="00332318"/>
    <w:rsid w:val="0033472D"/>
    <w:rsid w:val="00336488"/>
    <w:rsid w:val="00342A32"/>
    <w:rsid w:val="003439A2"/>
    <w:rsid w:val="00344D61"/>
    <w:rsid w:val="003469EC"/>
    <w:rsid w:val="00347085"/>
    <w:rsid w:val="003509C0"/>
    <w:rsid w:val="003556E4"/>
    <w:rsid w:val="0036351B"/>
    <w:rsid w:val="00366032"/>
    <w:rsid w:val="003705E8"/>
    <w:rsid w:val="00371543"/>
    <w:rsid w:val="003716D4"/>
    <w:rsid w:val="003925B2"/>
    <w:rsid w:val="00394B25"/>
    <w:rsid w:val="0039560A"/>
    <w:rsid w:val="003A21FE"/>
    <w:rsid w:val="003A5C65"/>
    <w:rsid w:val="003B0DE6"/>
    <w:rsid w:val="003B17F4"/>
    <w:rsid w:val="003B1D77"/>
    <w:rsid w:val="003B7D6F"/>
    <w:rsid w:val="003C3911"/>
    <w:rsid w:val="003D3463"/>
    <w:rsid w:val="003D528A"/>
    <w:rsid w:val="003D6374"/>
    <w:rsid w:val="003D6FB0"/>
    <w:rsid w:val="003E0207"/>
    <w:rsid w:val="003E24D6"/>
    <w:rsid w:val="003E2D3A"/>
    <w:rsid w:val="003F035B"/>
    <w:rsid w:val="003F1FC6"/>
    <w:rsid w:val="003F3EBE"/>
    <w:rsid w:val="00402952"/>
    <w:rsid w:val="004047A2"/>
    <w:rsid w:val="00404C7A"/>
    <w:rsid w:val="00407C56"/>
    <w:rsid w:val="00410C0E"/>
    <w:rsid w:val="00420EB4"/>
    <w:rsid w:val="004240E3"/>
    <w:rsid w:val="00433525"/>
    <w:rsid w:val="00435EF8"/>
    <w:rsid w:val="00441A8F"/>
    <w:rsid w:val="00441B8A"/>
    <w:rsid w:val="0044501D"/>
    <w:rsid w:val="004450AB"/>
    <w:rsid w:val="00451A7E"/>
    <w:rsid w:val="004547E0"/>
    <w:rsid w:val="00461F43"/>
    <w:rsid w:val="0046480C"/>
    <w:rsid w:val="004770BA"/>
    <w:rsid w:val="0048050F"/>
    <w:rsid w:val="00485AB3"/>
    <w:rsid w:val="0049020D"/>
    <w:rsid w:val="004943B6"/>
    <w:rsid w:val="00494F67"/>
    <w:rsid w:val="00495DCD"/>
    <w:rsid w:val="004A0CC0"/>
    <w:rsid w:val="004A2295"/>
    <w:rsid w:val="004A6D81"/>
    <w:rsid w:val="004A7E24"/>
    <w:rsid w:val="004B7966"/>
    <w:rsid w:val="004B7B8C"/>
    <w:rsid w:val="004D4066"/>
    <w:rsid w:val="004D62AF"/>
    <w:rsid w:val="004E42DA"/>
    <w:rsid w:val="004E45D5"/>
    <w:rsid w:val="004E531D"/>
    <w:rsid w:val="004E5AFA"/>
    <w:rsid w:val="004F10CE"/>
    <w:rsid w:val="004F4490"/>
    <w:rsid w:val="004F4EF5"/>
    <w:rsid w:val="004F6A63"/>
    <w:rsid w:val="00504A7B"/>
    <w:rsid w:val="0050538B"/>
    <w:rsid w:val="005119FA"/>
    <w:rsid w:val="00513F60"/>
    <w:rsid w:val="005165DC"/>
    <w:rsid w:val="00532EC9"/>
    <w:rsid w:val="0053409C"/>
    <w:rsid w:val="0053513E"/>
    <w:rsid w:val="005354BE"/>
    <w:rsid w:val="00535FC3"/>
    <w:rsid w:val="00536728"/>
    <w:rsid w:val="0056323B"/>
    <w:rsid w:val="00573771"/>
    <w:rsid w:val="005811F3"/>
    <w:rsid w:val="00582DEA"/>
    <w:rsid w:val="0058589E"/>
    <w:rsid w:val="0059142D"/>
    <w:rsid w:val="005915E3"/>
    <w:rsid w:val="00597C60"/>
    <w:rsid w:val="005A0ED2"/>
    <w:rsid w:val="005A3C89"/>
    <w:rsid w:val="005A42A5"/>
    <w:rsid w:val="005B07C8"/>
    <w:rsid w:val="005B1473"/>
    <w:rsid w:val="005B4A6F"/>
    <w:rsid w:val="005B7CA6"/>
    <w:rsid w:val="005C1F9E"/>
    <w:rsid w:val="005E5E7B"/>
    <w:rsid w:val="005F020B"/>
    <w:rsid w:val="005F3B9E"/>
    <w:rsid w:val="005F3DB9"/>
    <w:rsid w:val="005F5D65"/>
    <w:rsid w:val="005F76FB"/>
    <w:rsid w:val="00604181"/>
    <w:rsid w:val="00604E2D"/>
    <w:rsid w:val="0060567D"/>
    <w:rsid w:val="00611A58"/>
    <w:rsid w:val="00614AA4"/>
    <w:rsid w:val="00616FC1"/>
    <w:rsid w:val="00620469"/>
    <w:rsid w:val="006206EA"/>
    <w:rsid w:val="0063154F"/>
    <w:rsid w:val="00633B19"/>
    <w:rsid w:val="00633EF1"/>
    <w:rsid w:val="00636FC5"/>
    <w:rsid w:val="006400BA"/>
    <w:rsid w:val="00641B9A"/>
    <w:rsid w:val="006423BB"/>
    <w:rsid w:val="00642628"/>
    <w:rsid w:val="006467CA"/>
    <w:rsid w:val="006500A2"/>
    <w:rsid w:val="0066172F"/>
    <w:rsid w:val="00662AD1"/>
    <w:rsid w:val="00663745"/>
    <w:rsid w:val="00670B31"/>
    <w:rsid w:val="006756E6"/>
    <w:rsid w:val="0068404D"/>
    <w:rsid w:val="00691427"/>
    <w:rsid w:val="006915F6"/>
    <w:rsid w:val="006918FB"/>
    <w:rsid w:val="00693173"/>
    <w:rsid w:val="0069777F"/>
    <w:rsid w:val="006A4784"/>
    <w:rsid w:val="006A5225"/>
    <w:rsid w:val="006A7107"/>
    <w:rsid w:val="006B3E2E"/>
    <w:rsid w:val="006C472E"/>
    <w:rsid w:val="006C7054"/>
    <w:rsid w:val="006D0FBE"/>
    <w:rsid w:val="006D1116"/>
    <w:rsid w:val="006E02DD"/>
    <w:rsid w:val="006E1129"/>
    <w:rsid w:val="00702811"/>
    <w:rsid w:val="00706BC0"/>
    <w:rsid w:val="007138B0"/>
    <w:rsid w:val="00713D54"/>
    <w:rsid w:val="00715399"/>
    <w:rsid w:val="00720C80"/>
    <w:rsid w:val="007230A0"/>
    <w:rsid w:val="0072360B"/>
    <w:rsid w:val="0072435E"/>
    <w:rsid w:val="007249D5"/>
    <w:rsid w:val="00730F68"/>
    <w:rsid w:val="00734037"/>
    <w:rsid w:val="0074190C"/>
    <w:rsid w:val="00755C73"/>
    <w:rsid w:val="00757A64"/>
    <w:rsid w:val="00760C71"/>
    <w:rsid w:val="00763867"/>
    <w:rsid w:val="00767B97"/>
    <w:rsid w:val="0077176C"/>
    <w:rsid w:val="00772C34"/>
    <w:rsid w:val="00773A15"/>
    <w:rsid w:val="007743EC"/>
    <w:rsid w:val="00776852"/>
    <w:rsid w:val="00776D66"/>
    <w:rsid w:val="00777B27"/>
    <w:rsid w:val="00791BB3"/>
    <w:rsid w:val="0079399E"/>
    <w:rsid w:val="00795AB4"/>
    <w:rsid w:val="007975E1"/>
    <w:rsid w:val="007A65A0"/>
    <w:rsid w:val="007B0D2E"/>
    <w:rsid w:val="007B2777"/>
    <w:rsid w:val="007B2968"/>
    <w:rsid w:val="007C39F2"/>
    <w:rsid w:val="007C3AD6"/>
    <w:rsid w:val="007C3D18"/>
    <w:rsid w:val="007D08C1"/>
    <w:rsid w:val="007D31A8"/>
    <w:rsid w:val="007E6D31"/>
    <w:rsid w:val="00800843"/>
    <w:rsid w:val="008024F2"/>
    <w:rsid w:val="00807629"/>
    <w:rsid w:val="008125DA"/>
    <w:rsid w:val="00817229"/>
    <w:rsid w:val="00820DFB"/>
    <w:rsid w:val="00821F58"/>
    <w:rsid w:val="008263E7"/>
    <w:rsid w:val="008306CD"/>
    <w:rsid w:val="00840427"/>
    <w:rsid w:val="008449F5"/>
    <w:rsid w:val="0084546C"/>
    <w:rsid w:val="008471EC"/>
    <w:rsid w:val="008519FE"/>
    <w:rsid w:val="00856ECE"/>
    <w:rsid w:val="00862581"/>
    <w:rsid w:val="00863825"/>
    <w:rsid w:val="008729C9"/>
    <w:rsid w:val="00874B45"/>
    <w:rsid w:val="00880EC6"/>
    <w:rsid w:val="00884A91"/>
    <w:rsid w:val="008935DA"/>
    <w:rsid w:val="008A1B81"/>
    <w:rsid w:val="008A36A4"/>
    <w:rsid w:val="008A699E"/>
    <w:rsid w:val="008A6D37"/>
    <w:rsid w:val="008B7F7F"/>
    <w:rsid w:val="008C1D81"/>
    <w:rsid w:val="008C4583"/>
    <w:rsid w:val="008E256F"/>
    <w:rsid w:val="008E454E"/>
    <w:rsid w:val="008F1AAD"/>
    <w:rsid w:val="008F5288"/>
    <w:rsid w:val="0091113A"/>
    <w:rsid w:val="00915F25"/>
    <w:rsid w:val="009166F0"/>
    <w:rsid w:val="00916E3B"/>
    <w:rsid w:val="00920385"/>
    <w:rsid w:val="009211BD"/>
    <w:rsid w:val="0092160B"/>
    <w:rsid w:val="0092627B"/>
    <w:rsid w:val="00934199"/>
    <w:rsid w:val="009358E1"/>
    <w:rsid w:val="00936A6B"/>
    <w:rsid w:val="00953792"/>
    <w:rsid w:val="009705E2"/>
    <w:rsid w:val="00975940"/>
    <w:rsid w:val="0098254B"/>
    <w:rsid w:val="00983D55"/>
    <w:rsid w:val="0098417D"/>
    <w:rsid w:val="009875C5"/>
    <w:rsid w:val="00991DF6"/>
    <w:rsid w:val="0099572B"/>
    <w:rsid w:val="00996196"/>
    <w:rsid w:val="0099787D"/>
    <w:rsid w:val="009A2FA1"/>
    <w:rsid w:val="009B4E35"/>
    <w:rsid w:val="009C3329"/>
    <w:rsid w:val="009C558A"/>
    <w:rsid w:val="009C596B"/>
    <w:rsid w:val="009C5E73"/>
    <w:rsid w:val="009D5C90"/>
    <w:rsid w:val="009F1169"/>
    <w:rsid w:val="009F39E8"/>
    <w:rsid w:val="009F75FD"/>
    <w:rsid w:val="00A2176F"/>
    <w:rsid w:val="00A25526"/>
    <w:rsid w:val="00A30ABC"/>
    <w:rsid w:val="00A31F81"/>
    <w:rsid w:val="00A37819"/>
    <w:rsid w:val="00A4435A"/>
    <w:rsid w:val="00A4451F"/>
    <w:rsid w:val="00A46A80"/>
    <w:rsid w:val="00A52D3C"/>
    <w:rsid w:val="00A53139"/>
    <w:rsid w:val="00A53AA5"/>
    <w:rsid w:val="00A62ED4"/>
    <w:rsid w:val="00A6637E"/>
    <w:rsid w:val="00A73148"/>
    <w:rsid w:val="00A74F2B"/>
    <w:rsid w:val="00A8184F"/>
    <w:rsid w:val="00A90B3A"/>
    <w:rsid w:val="00A935E8"/>
    <w:rsid w:val="00A9450A"/>
    <w:rsid w:val="00A9569D"/>
    <w:rsid w:val="00AA538B"/>
    <w:rsid w:val="00AA685C"/>
    <w:rsid w:val="00AB297F"/>
    <w:rsid w:val="00AB4A9B"/>
    <w:rsid w:val="00AC0AF2"/>
    <w:rsid w:val="00AC2568"/>
    <w:rsid w:val="00AC7446"/>
    <w:rsid w:val="00AD10B8"/>
    <w:rsid w:val="00AD6B94"/>
    <w:rsid w:val="00AF0D1C"/>
    <w:rsid w:val="00AF58B6"/>
    <w:rsid w:val="00B01F81"/>
    <w:rsid w:val="00B03A6D"/>
    <w:rsid w:val="00B04CAD"/>
    <w:rsid w:val="00B04FD0"/>
    <w:rsid w:val="00B071E5"/>
    <w:rsid w:val="00B104BD"/>
    <w:rsid w:val="00B1146C"/>
    <w:rsid w:val="00B130AF"/>
    <w:rsid w:val="00B22B39"/>
    <w:rsid w:val="00B24ED8"/>
    <w:rsid w:val="00B271DE"/>
    <w:rsid w:val="00B27F8A"/>
    <w:rsid w:val="00B3317B"/>
    <w:rsid w:val="00B36550"/>
    <w:rsid w:val="00B43960"/>
    <w:rsid w:val="00B503CA"/>
    <w:rsid w:val="00B56043"/>
    <w:rsid w:val="00B67E1C"/>
    <w:rsid w:val="00B767B8"/>
    <w:rsid w:val="00B77A1D"/>
    <w:rsid w:val="00B80ADA"/>
    <w:rsid w:val="00B8370A"/>
    <w:rsid w:val="00B85CE2"/>
    <w:rsid w:val="00B877F0"/>
    <w:rsid w:val="00B93351"/>
    <w:rsid w:val="00B95E63"/>
    <w:rsid w:val="00B96E91"/>
    <w:rsid w:val="00BA2CDB"/>
    <w:rsid w:val="00BA3C87"/>
    <w:rsid w:val="00BA595B"/>
    <w:rsid w:val="00BA7A98"/>
    <w:rsid w:val="00BB1509"/>
    <w:rsid w:val="00BB6BC4"/>
    <w:rsid w:val="00BC5FAC"/>
    <w:rsid w:val="00BD5606"/>
    <w:rsid w:val="00BE2554"/>
    <w:rsid w:val="00BE3B52"/>
    <w:rsid w:val="00BE465C"/>
    <w:rsid w:val="00C0419D"/>
    <w:rsid w:val="00C05123"/>
    <w:rsid w:val="00C06C73"/>
    <w:rsid w:val="00C15323"/>
    <w:rsid w:val="00C3286F"/>
    <w:rsid w:val="00C3299F"/>
    <w:rsid w:val="00C33013"/>
    <w:rsid w:val="00C43949"/>
    <w:rsid w:val="00C459D1"/>
    <w:rsid w:val="00C505BD"/>
    <w:rsid w:val="00C561D9"/>
    <w:rsid w:val="00C665D4"/>
    <w:rsid w:val="00C7245E"/>
    <w:rsid w:val="00C76C16"/>
    <w:rsid w:val="00C77D84"/>
    <w:rsid w:val="00C815C4"/>
    <w:rsid w:val="00C84B6C"/>
    <w:rsid w:val="00C93AC5"/>
    <w:rsid w:val="00CA0F6E"/>
    <w:rsid w:val="00CA1614"/>
    <w:rsid w:val="00CA54AC"/>
    <w:rsid w:val="00CA746E"/>
    <w:rsid w:val="00CA7B78"/>
    <w:rsid w:val="00CB117C"/>
    <w:rsid w:val="00CC297A"/>
    <w:rsid w:val="00CC3B0C"/>
    <w:rsid w:val="00CD687E"/>
    <w:rsid w:val="00CD6BB6"/>
    <w:rsid w:val="00CE3B64"/>
    <w:rsid w:val="00CE7C77"/>
    <w:rsid w:val="00CF763D"/>
    <w:rsid w:val="00D002E5"/>
    <w:rsid w:val="00D020CC"/>
    <w:rsid w:val="00D042CB"/>
    <w:rsid w:val="00D10633"/>
    <w:rsid w:val="00D10DC3"/>
    <w:rsid w:val="00D211A9"/>
    <w:rsid w:val="00D259BF"/>
    <w:rsid w:val="00D26281"/>
    <w:rsid w:val="00D27F7C"/>
    <w:rsid w:val="00D46020"/>
    <w:rsid w:val="00D56B74"/>
    <w:rsid w:val="00D57A84"/>
    <w:rsid w:val="00D665A9"/>
    <w:rsid w:val="00D72C03"/>
    <w:rsid w:val="00D81CD3"/>
    <w:rsid w:val="00D9062C"/>
    <w:rsid w:val="00D91C3A"/>
    <w:rsid w:val="00D93605"/>
    <w:rsid w:val="00D9617E"/>
    <w:rsid w:val="00DB07A4"/>
    <w:rsid w:val="00DB0DAB"/>
    <w:rsid w:val="00DB2837"/>
    <w:rsid w:val="00DB2D8F"/>
    <w:rsid w:val="00DB4B2E"/>
    <w:rsid w:val="00DB6514"/>
    <w:rsid w:val="00DB6A89"/>
    <w:rsid w:val="00DC266B"/>
    <w:rsid w:val="00DC4130"/>
    <w:rsid w:val="00DD18A1"/>
    <w:rsid w:val="00DD4471"/>
    <w:rsid w:val="00DE552D"/>
    <w:rsid w:val="00DE5BA8"/>
    <w:rsid w:val="00DE7291"/>
    <w:rsid w:val="00DE73B5"/>
    <w:rsid w:val="00DE7809"/>
    <w:rsid w:val="00DF4B68"/>
    <w:rsid w:val="00E05868"/>
    <w:rsid w:val="00E07594"/>
    <w:rsid w:val="00E11D5F"/>
    <w:rsid w:val="00E15C5B"/>
    <w:rsid w:val="00E23F76"/>
    <w:rsid w:val="00E275CE"/>
    <w:rsid w:val="00E41C96"/>
    <w:rsid w:val="00E42650"/>
    <w:rsid w:val="00E4682B"/>
    <w:rsid w:val="00E47699"/>
    <w:rsid w:val="00E628B1"/>
    <w:rsid w:val="00E71D53"/>
    <w:rsid w:val="00E722BD"/>
    <w:rsid w:val="00E830F6"/>
    <w:rsid w:val="00E87347"/>
    <w:rsid w:val="00E945B0"/>
    <w:rsid w:val="00E94AFD"/>
    <w:rsid w:val="00E957AE"/>
    <w:rsid w:val="00EA6262"/>
    <w:rsid w:val="00EB4480"/>
    <w:rsid w:val="00EB6465"/>
    <w:rsid w:val="00ED6677"/>
    <w:rsid w:val="00EE6530"/>
    <w:rsid w:val="00F00E80"/>
    <w:rsid w:val="00F0713A"/>
    <w:rsid w:val="00F11018"/>
    <w:rsid w:val="00F15AF4"/>
    <w:rsid w:val="00F16E22"/>
    <w:rsid w:val="00F17C71"/>
    <w:rsid w:val="00F27339"/>
    <w:rsid w:val="00F37D20"/>
    <w:rsid w:val="00F42342"/>
    <w:rsid w:val="00F44A09"/>
    <w:rsid w:val="00F52378"/>
    <w:rsid w:val="00F54888"/>
    <w:rsid w:val="00F57262"/>
    <w:rsid w:val="00F61A51"/>
    <w:rsid w:val="00F6407D"/>
    <w:rsid w:val="00F64FBB"/>
    <w:rsid w:val="00F67F81"/>
    <w:rsid w:val="00F703AD"/>
    <w:rsid w:val="00F70EA3"/>
    <w:rsid w:val="00F73553"/>
    <w:rsid w:val="00F778B9"/>
    <w:rsid w:val="00F77E65"/>
    <w:rsid w:val="00F8226F"/>
    <w:rsid w:val="00F83543"/>
    <w:rsid w:val="00F84C53"/>
    <w:rsid w:val="00F907D1"/>
    <w:rsid w:val="00F926B8"/>
    <w:rsid w:val="00F9426F"/>
    <w:rsid w:val="00F95F55"/>
    <w:rsid w:val="00F968DC"/>
    <w:rsid w:val="00FA2E27"/>
    <w:rsid w:val="00FA4128"/>
    <w:rsid w:val="00FA6158"/>
    <w:rsid w:val="00FA63F4"/>
    <w:rsid w:val="00FB15E3"/>
    <w:rsid w:val="00FB79BD"/>
    <w:rsid w:val="00FC754C"/>
    <w:rsid w:val="00FD0304"/>
    <w:rsid w:val="00FD3CE4"/>
    <w:rsid w:val="00FD684B"/>
    <w:rsid w:val="01EC3E90"/>
    <w:rsid w:val="01EF12C0"/>
    <w:rsid w:val="027F4D04"/>
    <w:rsid w:val="03220191"/>
    <w:rsid w:val="08625E21"/>
    <w:rsid w:val="08B46A13"/>
    <w:rsid w:val="0CCA1272"/>
    <w:rsid w:val="0D570D57"/>
    <w:rsid w:val="0E912047"/>
    <w:rsid w:val="0F9569FD"/>
    <w:rsid w:val="11C027E7"/>
    <w:rsid w:val="130D7180"/>
    <w:rsid w:val="15783F61"/>
    <w:rsid w:val="16F74397"/>
    <w:rsid w:val="1B417F7A"/>
    <w:rsid w:val="1BE13EE2"/>
    <w:rsid w:val="1BF51C89"/>
    <w:rsid w:val="1C6F468F"/>
    <w:rsid w:val="1D546098"/>
    <w:rsid w:val="1F2F6A16"/>
    <w:rsid w:val="216E518E"/>
    <w:rsid w:val="221C21DB"/>
    <w:rsid w:val="225E15D8"/>
    <w:rsid w:val="2322375E"/>
    <w:rsid w:val="233B70EE"/>
    <w:rsid w:val="23E20933"/>
    <w:rsid w:val="256242E5"/>
    <w:rsid w:val="2BA2543C"/>
    <w:rsid w:val="2BB41A41"/>
    <w:rsid w:val="2C02412C"/>
    <w:rsid w:val="2C132253"/>
    <w:rsid w:val="2FED29FE"/>
    <w:rsid w:val="32D01D72"/>
    <w:rsid w:val="354F74B0"/>
    <w:rsid w:val="360A56C9"/>
    <w:rsid w:val="3D25D500"/>
    <w:rsid w:val="3D9617C3"/>
    <w:rsid w:val="3ED25BE0"/>
    <w:rsid w:val="3EEF98DD"/>
    <w:rsid w:val="3F9FD22F"/>
    <w:rsid w:val="3FDF2363"/>
    <w:rsid w:val="417836A0"/>
    <w:rsid w:val="419D3F2B"/>
    <w:rsid w:val="425A6618"/>
    <w:rsid w:val="45196317"/>
    <w:rsid w:val="451E1B7F"/>
    <w:rsid w:val="461750E3"/>
    <w:rsid w:val="46DA544D"/>
    <w:rsid w:val="470749E1"/>
    <w:rsid w:val="47714E25"/>
    <w:rsid w:val="4779309D"/>
    <w:rsid w:val="47D66741"/>
    <w:rsid w:val="480F1C53"/>
    <w:rsid w:val="4B69313C"/>
    <w:rsid w:val="4CCC5DAB"/>
    <w:rsid w:val="4CF241DD"/>
    <w:rsid w:val="4F7B247E"/>
    <w:rsid w:val="4FF534DD"/>
    <w:rsid w:val="516923D4"/>
    <w:rsid w:val="5280110E"/>
    <w:rsid w:val="52A22E8C"/>
    <w:rsid w:val="52E2243E"/>
    <w:rsid w:val="55284354"/>
    <w:rsid w:val="55426067"/>
    <w:rsid w:val="569A6B8C"/>
    <w:rsid w:val="57D94567"/>
    <w:rsid w:val="5A054C64"/>
    <w:rsid w:val="5CE85B8D"/>
    <w:rsid w:val="5CFF1606"/>
    <w:rsid w:val="5DFFCE9C"/>
    <w:rsid w:val="5E337FF2"/>
    <w:rsid w:val="5E780E5B"/>
    <w:rsid w:val="5E7F3237"/>
    <w:rsid w:val="5FB81DCD"/>
    <w:rsid w:val="60F82E2D"/>
    <w:rsid w:val="629E5C56"/>
    <w:rsid w:val="63BD8BA4"/>
    <w:rsid w:val="642E5DA1"/>
    <w:rsid w:val="664363FD"/>
    <w:rsid w:val="66BE68C6"/>
    <w:rsid w:val="67F500C6"/>
    <w:rsid w:val="689F4372"/>
    <w:rsid w:val="6BFEE3C0"/>
    <w:rsid w:val="6BFF0146"/>
    <w:rsid w:val="6C8163CC"/>
    <w:rsid w:val="6D5C2E41"/>
    <w:rsid w:val="6EFD90F7"/>
    <w:rsid w:val="6F765F90"/>
    <w:rsid w:val="72DE18B7"/>
    <w:rsid w:val="73102258"/>
    <w:rsid w:val="7329008F"/>
    <w:rsid w:val="73324F96"/>
    <w:rsid w:val="74076C48"/>
    <w:rsid w:val="751D2A0A"/>
    <w:rsid w:val="75693EA1"/>
    <w:rsid w:val="75F45E61"/>
    <w:rsid w:val="77C6AB6B"/>
    <w:rsid w:val="77FF4F98"/>
    <w:rsid w:val="78E75809"/>
    <w:rsid w:val="79FF0142"/>
    <w:rsid w:val="7ADD5115"/>
    <w:rsid w:val="7B473768"/>
    <w:rsid w:val="7BD4388A"/>
    <w:rsid w:val="7BFB120F"/>
    <w:rsid w:val="7D605B8A"/>
    <w:rsid w:val="7EFC5D86"/>
    <w:rsid w:val="7F7F1836"/>
    <w:rsid w:val="7FDE9EE2"/>
    <w:rsid w:val="93EEA786"/>
    <w:rsid w:val="9CFB7DEA"/>
    <w:rsid w:val="ADAF1DB9"/>
    <w:rsid w:val="B5FF0B5B"/>
    <w:rsid w:val="B76B45F2"/>
    <w:rsid w:val="D5FE192F"/>
    <w:rsid w:val="DDDB2668"/>
    <w:rsid w:val="DFFB0938"/>
    <w:rsid w:val="EB7DFDD5"/>
    <w:rsid w:val="EC3D1978"/>
    <w:rsid w:val="FEFFD74D"/>
    <w:rsid w:val="FFFF8C4C"/>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name="heading 2" w:locked="1"/>
    <w:lsdException w:qFormat="1" w:unhideWhenUsed="0" w:uiPriority="99" w:semiHidden="0" w:name="heading 3"/>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99" w:semiHidden="0" w:name="Strong"/>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
    <w:autoRedefine/>
    <w:qFormat/>
    <w:uiPriority w:val="99"/>
    <w:pPr>
      <w:keepNext/>
      <w:keepLines/>
      <w:tabs>
        <w:tab w:val="left" w:pos="0"/>
      </w:tabs>
      <w:suppressAutoHyphens/>
      <w:spacing w:before="340" w:after="330" w:line="480" w:lineRule="auto"/>
      <w:ind w:left="432" w:hanging="432"/>
      <w:outlineLvl w:val="0"/>
    </w:pPr>
    <w:rPr>
      <w:b/>
      <w:bCs/>
      <w:kern w:val="1"/>
      <w:sz w:val="44"/>
      <w:szCs w:val="44"/>
      <w:lang w:eastAsia="ar-SA"/>
    </w:rPr>
  </w:style>
  <w:style w:type="paragraph" w:styleId="3">
    <w:name w:val="heading 3"/>
    <w:basedOn w:val="1"/>
    <w:next w:val="1"/>
    <w:link w:val="16"/>
    <w:autoRedefine/>
    <w:qFormat/>
    <w:uiPriority w:val="99"/>
    <w:pPr>
      <w:keepNext/>
      <w:keepLines/>
      <w:tabs>
        <w:tab w:val="left" w:pos="0"/>
      </w:tabs>
      <w:suppressAutoHyphens/>
      <w:spacing w:before="260" w:after="260" w:line="412" w:lineRule="auto"/>
      <w:ind w:left="720" w:hanging="720"/>
      <w:outlineLvl w:val="2"/>
    </w:pPr>
    <w:rPr>
      <w:b/>
      <w:bCs/>
      <w:kern w:val="21"/>
      <w:sz w:val="32"/>
      <w:szCs w:val="32"/>
      <w:lang w:eastAsia="ar-SA"/>
    </w:rPr>
  </w:style>
  <w:style w:type="character" w:default="1" w:styleId="13">
    <w:name w:val="Default Paragraph Font"/>
    <w:autoRedefine/>
    <w:semiHidden/>
    <w:unhideWhenUsed/>
    <w:qFormat/>
    <w:uiPriority w:val="1"/>
  </w:style>
  <w:style w:type="table" w:default="1" w:styleId="11">
    <w:name w:val="Normal Table"/>
    <w:autoRedefine/>
    <w:semiHidden/>
    <w:unhideWhenUsed/>
    <w:qFormat/>
    <w:uiPriority w:val="99"/>
    <w:tblPr>
      <w:tblCellMar>
        <w:top w:w="0" w:type="dxa"/>
        <w:left w:w="108" w:type="dxa"/>
        <w:bottom w:w="0" w:type="dxa"/>
        <w:right w:w="108" w:type="dxa"/>
      </w:tblCellMar>
    </w:tblPr>
  </w:style>
  <w:style w:type="paragraph" w:styleId="4">
    <w:name w:val="caption"/>
    <w:basedOn w:val="1"/>
    <w:next w:val="1"/>
    <w:autoRedefine/>
    <w:qFormat/>
    <w:uiPriority w:val="99"/>
    <w:pPr>
      <w:suppressLineNumbers/>
      <w:suppressAutoHyphens/>
      <w:spacing w:before="120" w:after="120"/>
    </w:pPr>
    <w:rPr>
      <w:rFonts w:cs="Mangal"/>
      <w:i/>
      <w:iCs/>
      <w:kern w:val="21"/>
      <w:sz w:val="24"/>
      <w:lang w:eastAsia="ar-SA"/>
    </w:rPr>
  </w:style>
  <w:style w:type="paragraph" w:styleId="5">
    <w:name w:val="Body Text"/>
    <w:basedOn w:val="1"/>
    <w:link w:val="26"/>
    <w:autoRedefine/>
    <w:qFormat/>
    <w:uiPriority w:val="0"/>
    <w:pPr>
      <w:spacing w:after="120"/>
    </w:pPr>
  </w:style>
  <w:style w:type="paragraph" w:styleId="6">
    <w:name w:val="Date"/>
    <w:basedOn w:val="1"/>
    <w:next w:val="1"/>
    <w:link w:val="25"/>
    <w:autoRedefine/>
    <w:semiHidden/>
    <w:unhideWhenUsed/>
    <w:qFormat/>
    <w:uiPriority w:val="99"/>
    <w:pPr>
      <w:ind w:left="100" w:leftChars="2500"/>
    </w:pPr>
  </w:style>
  <w:style w:type="paragraph" w:styleId="7">
    <w:name w:val="Balloon Text"/>
    <w:basedOn w:val="1"/>
    <w:link w:val="22"/>
    <w:autoRedefine/>
    <w:semiHidden/>
    <w:unhideWhenUsed/>
    <w:qFormat/>
    <w:uiPriority w:val="99"/>
    <w:rPr>
      <w:sz w:val="18"/>
      <w:szCs w:val="18"/>
    </w:rPr>
  </w:style>
  <w:style w:type="paragraph" w:styleId="8">
    <w:name w:val="footer"/>
    <w:basedOn w:val="1"/>
    <w:link w:val="21"/>
    <w:autoRedefine/>
    <w:unhideWhenUsed/>
    <w:qFormat/>
    <w:uiPriority w:val="99"/>
    <w:pPr>
      <w:tabs>
        <w:tab w:val="center" w:pos="4153"/>
        <w:tab w:val="right" w:pos="8306"/>
      </w:tabs>
      <w:snapToGrid w:val="0"/>
      <w:jc w:val="left"/>
    </w:pPr>
    <w:rPr>
      <w:sz w:val="18"/>
      <w:szCs w:val="18"/>
    </w:rPr>
  </w:style>
  <w:style w:type="paragraph" w:styleId="9">
    <w:name w:val="header"/>
    <w:basedOn w:val="1"/>
    <w:link w:val="20"/>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HTML Preformatted"/>
    <w:basedOn w:val="1"/>
    <w:autoRedefine/>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table" w:styleId="12">
    <w:name w:val="Table Grid"/>
    <w:basedOn w:val="11"/>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Strong"/>
    <w:autoRedefine/>
    <w:qFormat/>
    <w:uiPriority w:val="99"/>
    <w:rPr>
      <w:rFonts w:cs="Times New Roman"/>
      <w:b/>
    </w:rPr>
  </w:style>
  <w:style w:type="character" w:customStyle="1" w:styleId="15">
    <w:name w:val="标题 1 Char"/>
    <w:link w:val="2"/>
    <w:autoRedefine/>
    <w:qFormat/>
    <w:locked/>
    <w:uiPriority w:val="99"/>
    <w:rPr>
      <w:rFonts w:cs="Times New Roman"/>
      <w:b/>
      <w:kern w:val="1"/>
      <w:sz w:val="44"/>
      <w:lang w:eastAsia="ar-SA" w:bidi="ar-SA"/>
    </w:rPr>
  </w:style>
  <w:style w:type="character" w:customStyle="1" w:styleId="16">
    <w:name w:val="标题 3 Char"/>
    <w:link w:val="3"/>
    <w:autoRedefine/>
    <w:qFormat/>
    <w:locked/>
    <w:uiPriority w:val="99"/>
    <w:rPr>
      <w:rFonts w:cs="Times New Roman"/>
      <w:b/>
      <w:kern w:val="21"/>
      <w:sz w:val="32"/>
      <w:lang w:eastAsia="ar-SA" w:bidi="ar-SA"/>
    </w:rPr>
  </w:style>
  <w:style w:type="paragraph" w:styleId="17">
    <w:name w:val="List Paragraph"/>
    <w:basedOn w:val="1"/>
    <w:autoRedefine/>
    <w:qFormat/>
    <w:uiPriority w:val="99"/>
    <w:pPr>
      <w:suppressAutoHyphens/>
      <w:ind w:firstLine="420" w:firstLineChars="200"/>
    </w:pPr>
    <w:rPr>
      <w:kern w:val="21"/>
      <w:lang w:eastAsia="ar-SA"/>
    </w:rPr>
  </w:style>
  <w:style w:type="paragraph" w:customStyle="1" w:styleId="18">
    <w:name w:val="段"/>
    <w:link w:val="19"/>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19">
    <w:name w:val="段 Char"/>
    <w:link w:val="18"/>
    <w:autoRedefine/>
    <w:qFormat/>
    <w:locked/>
    <w:uiPriority w:val="0"/>
    <w:rPr>
      <w:rFonts w:ascii="宋体" w:cs="Times New Roman"/>
      <w:sz w:val="21"/>
      <w:lang w:val="en-US" w:eastAsia="zh-CN" w:bidi="ar-SA"/>
    </w:rPr>
  </w:style>
  <w:style w:type="character" w:customStyle="1" w:styleId="20">
    <w:name w:val="页眉 Char"/>
    <w:link w:val="9"/>
    <w:autoRedefine/>
    <w:qFormat/>
    <w:uiPriority w:val="99"/>
    <w:rPr>
      <w:sz w:val="18"/>
      <w:szCs w:val="18"/>
    </w:rPr>
  </w:style>
  <w:style w:type="character" w:customStyle="1" w:styleId="21">
    <w:name w:val="页脚 Char"/>
    <w:link w:val="8"/>
    <w:autoRedefine/>
    <w:qFormat/>
    <w:uiPriority w:val="99"/>
    <w:rPr>
      <w:sz w:val="18"/>
      <w:szCs w:val="18"/>
    </w:rPr>
  </w:style>
  <w:style w:type="character" w:customStyle="1" w:styleId="22">
    <w:name w:val="批注框文本 Char"/>
    <w:link w:val="7"/>
    <w:autoRedefine/>
    <w:semiHidden/>
    <w:qFormat/>
    <w:uiPriority w:val="99"/>
    <w:rPr>
      <w:kern w:val="2"/>
      <w:sz w:val="18"/>
      <w:szCs w:val="18"/>
    </w:rPr>
  </w:style>
  <w:style w:type="table" w:customStyle="1" w:styleId="23">
    <w:name w:val="浅色底纹1"/>
    <w:basedOn w:val="11"/>
    <w:autoRedefine/>
    <w:qFormat/>
    <w:uiPriority w:val="60"/>
    <w:rPr>
      <w:color w:val="000000"/>
    </w:rPr>
    <w:tblPr>
      <w:tblBorders>
        <w:top w:val="single" w:color="000000" w:sz="8" w:space="0"/>
        <w:bottom w:val="single" w:color="000000"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4">
    <w:name w:val="浅色底纹2"/>
    <w:basedOn w:val="11"/>
    <w:autoRedefine/>
    <w:qFormat/>
    <w:uiPriority w:val="60"/>
    <w:rPr>
      <w:color w:val="000000"/>
    </w:rPr>
    <w:tblPr>
      <w:tblBorders>
        <w:top w:val="single" w:color="000000" w:sz="8" w:space="0"/>
        <w:bottom w:val="single" w:color="000000"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character" w:customStyle="1" w:styleId="25">
    <w:name w:val="日期 Char"/>
    <w:basedOn w:val="13"/>
    <w:link w:val="6"/>
    <w:autoRedefine/>
    <w:semiHidden/>
    <w:qFormat/>
    <w:uiPriority w:val="99"/>
    <w:rPr>
      <w:kern w:val="2"/>
      <w:sz w:val="21"/>
      <w:szCs w:val="24"/>
    </w:rPr>
  </w:style>
  <w:style w:type="character" w:customStyle="1" w:styleId="26">
    <w:name w:val="正文文本 Char"/>
    <w:basedOn w:val="13"/>
    <w:link w:val="5"/>
    <w:autoRedefine/>
    <w:qFormat/>
    <w:uiPriority w:val="0"/>
    <w:rPr>
      <w:kern w:val="2"/>
      <w:sz w:val="21"/>
      <w:szCs w:val="24"/>
    </w:rPr>
  </w:style>
  <w:style w:type="paragraph" w:customStyle="1" w:styleId="27">
    <w:name w:val="标准文件_段"/>
    <w:link w:val="28"/>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8">
    <w:name w:val="标准文件_段 Char"/>
    <w:link w:val="27"/>
    <w:autoRedefine/>
    <w:qFormat/>
    <w:uiPriority w:val="0"/>
    <w:rPr>
      <w:rFonts w:ascii="宋体"/>
      <w:sz w:val="21"/>
    </w:rPr>
  </w:style>
  <w:style w:type="paragraph" w:customStyle="1" w:styleId="29">
    <w:name w:val="一级条标题"/>
    <w:next w:val="18"/>
    <w:autoRedefine/>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30">
    <w:name w:val="二级条标题"/>
    <w:basedOn w:val="29"/>
    <w:next w:val="18"/>
    <w:autoRedefine/>
    <w:qFormat/>
    <w:uiPriority w:val="0"/>
    <w:pPr>
      <w:numPr>
        <w:ilvl w:val="2"/>
        <w:numId w:val="1"/>
      </w:numPr>
      <w:spacing w:before="50" w:after="50"/>
      <w:outlineLvl w:val="3"/>
    </w:pPr>
  </w:style>
  <w:style w:type="paragraph" w:customStyle="1" w:styleId="31">
    <w:name w:val="附录表标题"/>
    <w:basedOn w:val="1"/>
    <w:next w:val="18"/>
    <w:autoRedefine/>
    <w:qFormat/>
    <w:uiPriority w:val="0"/>
    <w:pPr>
      <w:numPr>
        <w:ilvl w:val="1"/>
        <w:numId w:val="2"/>
      </w:numPr>
      <w:tabs>
        <w:tab w:val="left" w:pos="180"/>
      </w:tabs>
      <w:spacing w:before="50" w:beforeLines="50" w:after="50" w:afterLines="50"/>
      <w:ind w:left="0" w:firstLine="0"/>
      <w:jc w:val="center"/>
    </w:pPr>
    <w:rPr>
      <w:rFonts w:ascii="黑体" w:eastAsia="黑体"/>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Lenovo</Company>
  <Pages>11</Pages>
  <Words>1040</Words>
  <Characters>5934</Characters>
  <Lines>49</Lines>
  <Paragraphs>13</Paragraphs>
  <TotalTime>5</TotalTime>
  <ScaleCrop>false</ScaleCrop>
  <LinksUpToDate>false</LinksUpToDate>
  <CharactersWithSpaces>6961</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2016-02-24T23:17:00Z</dcterms:created>
  <dc:creator>lenovo</dc:creator>
  <cp:lastModifiedBy>郑少文</cp:lastModifiedBy>
  <cp:lastPrinted>2017-01-18T23:31:00Z</cp:lastPrinted>
  <dcterms:modified xsi:type="dcterms:W3CDTF">2024-05-13T02:02:56Z</dcterms:modified>
  <cp:revision>536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16DEC057891D4C0DB8764FBC7996C205_13</vt:lpwstr>
  </property>
</Properties>
</file>